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8"/>
        <w:ind w:left="1645" w:right="3997"/>
      </w:pPr>
      <w:r>
        <w:rPr>
          <w:i/>
        </w:rPr>
        <w:t>noyb </w:t>
      </w:r>
      <w:r>
        <w:rPr/>
        <w:t>– European Center for Digital Rights Goldschlagstraße 172/4/3/2</w:t>
      </w:r>
    </w:p>
    <w:p>
      <w:pPr>
        <w:pStyle w:val="BodyText"/>
        <w:ind w:left="1645"/>
      </w:pPr>
      <w:r>
        <w:rPr/>
        <w:t>1140 Vienna</w:t>
      </w:r>
    </w:p>
    <w:p>
      <w:pPr>
        <w:spacing w:before="1"/>
        <w:ind w:left="1645" w:right="0" w:firstLine="0"/>
        <w:jc w:val="left"/>
        <w:rPr>
          <w:sz w:val="24"/>
        </w:rPr>
      </w:pPr>
      <w:r>
        <w:rPr>
          <w:sz w:val="24"/>
        </w:rPr>
        <w:t>AUSTRIA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7"/>
        </w:rPr>
      </w:pPr>
    </w:p>
    <w:p>
      <w:pPr>
        <w:pStyle w:val="BodyText"/>
        <w:spacing w:line="256" w:lineRule="auto" w:before="57"/>
        <w:ind w:left="135" w:right="133"/>
        <w:jc w:val="both"/>
      </w:pPr>
      <w:r>
        <w:rPr/>
        <w:t>The following “model request” is a </w:t>
      </w:r>
      <w:r>
        <w:rPr>
          <w:u w:val="single"/>
        </w:rPr>
        <w:t>preliminary</w:t>
      </w:r>
      <w:r>
        <w:rPr/>
        <w:t> attempt to highlight the elements that any EU controller or processor should request from any US controller or processor when continuing to use the Standard Cotnractual Clauses (SCCs).</w:t>
      </w:r>
    </w:p>
    <w:p>
      <w:pPr>
        <w:pStyle w:val="BodyText"/>
        <w:spacing w:line="259" w:lineRule="auto" w:before="165"/>
        <w:ind w:left="135" w:right="132"/>
        <w:jc w:val="both"/>
      </w:pPr>
      <w:r>
        <w:rPr/>
        <w:t>Depending on your situation, you may need to amend this text or omit certain elements. Please be aware that these questions only highlight the elements that the CJEU has relied on in C-311/18. There may well be other laws that a controller or processor also has to take into</w:t>
      </w:r>
      <w:r>
        <w:rPr>
          <w:spacing w:val="-19"/>
        </w:rPr>
        <w:t> </w:t>
      </w:r>
      <w:r>
        <w:rPr/>
        <w:t>consideration.</w:t>
      </w:r>
    </w:p>
    <w:p>
      <w:pPr>
        <w:pStyle w:val="BodyText"/>
        <w:spacing w:line="259" w:lineRule="auto" w:before="159"/>
        <w:ind w:left="135" w:right="136"/>
        <w:jc w:val="both"/>
      </w:pPr>
      <w:r>
        <w:rPr/>
        <w:t>This text is free to use (CC0). Given its preliminary nature, we cannot guarantee that this text will cover all </w:t>
      </w:r>
      <w:hyperlink r:id="rId5">
        <w:r>
          <w:rPr/>
          <w:t>legally relevant</w:t>
        </w:r>
      </w:hyperlink>
      <w:r>
        <w:rPr/>
        <w:t> elements for your specific processing operation. We are looking forward     to your feedback via </w:t>
      </w:r>
      <w:hyperlink r:id="rId5">
        <w:r>
          <w:rPr>
            <w:color w:val="0562C1"/>
            <w:u w:val="single" w:color="0562C1"/>
          </w:rPr>
          <w:t>info@noyb.eu</w:t>
        </w:r>
      </w:hyperlink>
      <w:r>
        <w:rPr>
          <w:color w:val="0562C1"/>
        </w:rPr>
        <w:t> </w:t>
      </w:r>
      <w:r>
        <w:rPr/>
        <w:t>and will continuously update this document over the coming days.</w:t>
      </w:r>
    </w:p>
    <w:p>
      <w:pPr>
        <w:pStyle w:val="BodyText"/>
        <w:spacing w:before="157"/>
        <w:ind w:left="135"/>
      </w:pPr>
      <w:r>
        <w:rPr/>
        <w:t>To use this form without the cover page go to: </w:t>
      </w:r>
      <w:r>
        <w:rPr>
          <w:color w:val="0562C1"/>
          <w:u w:val="single" w:color="0562C1"/>
        </w:rPr>
        <w:t>https://noyb.eu/files/CJEU/EU-US_form_v3_nc.pdf</w:t>
      </w:r>
    </w:p>
    <w:p>
      <w:pPr>
        <w:pStyle w:val="BodyText"/>
      </w:pPr>
    </w:p>
    <w:p>
      <w:pPr>
        <w:pStyle w:val="BodyText"/>
        <w:spacing w:before="8"/>
        <w:rPr>
          <w:sz w:val="29"/>
        </w:rPr>
      </w:pPr>
    </w:p>
    <w:p>
      <w:pPr>
        <w:pStyle w:val="BodyText"/>
        <w:ind w:left="136"/>
      </w:pPr>
      <w:r>
        <w:rPr/>
        <w:t>We hope this document is useful for you!</w:t>
      </w:r>
    </w:p>
    <w:p>
      <w:pPr>
        <w:pStyle w:val="BodyText"/>
      </w:pPr>
    </w:p>
    <w:p>
      <w:pPr>
        <w:pStyle w:val="BodyText"/>
        <w:spacing w:before="9"/>
        <w:rPr>
          <w:sz w:val="29"/>
        </w:rPr>
      </w:pPr>
    </w:p>
    <w:p>
      <w:pPr>
        <w:spacing w:before="0"/>
        <w:ind w:left="136" w:right="0" w:firstLine="0"/>
        <w:jc w:val="left"/>
        <w:rPr>
          <w:sz w:val="22"/>
        </w:rPr>
      </w:pPr>
      <w:r>
        <w:rPr>
          <w:sz w:val="22"/>
        </w:rPr>
        <w:t>The </w:t>
      </w:r>
      <w:r>
        <w:rPr>
          <w:i/>
          <w:sz w:val="22"/>
        </w:rPr>
        <w:t>noyb </w:t>
      </w:r>
      <w:r>
        <w:rPr>
          <w:sz w:val="22"/>
        </w:rPr>
        <w:t>team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p>
    <w:p>
      <w:pPr>
        <w:spacing w:line="259" w:lineRule="auto" w:before="64"/>
        <w:ind w:left="1909" w:right="457" w:hanging="1441"/>
        <w:jc w:val="left"/>
        <w:rPr>
          <w:sz w:val="18"/>
        </w:rPr>
      </w:pPr>
      <w:r>
        <w:rPr>
          <w:i/>
          <w:color w:val="FFFFFF"/>
          <w:sz w:val="18"/>
        </w:rPr>
        <w:t>noyb </w:t>
      </w:r>
      <w:r>
        <w:rPr>
          <w:color w:val="FFFFFF"/>
          <w:sz w:val="18"/>
        </w:rPr>
        <w:t>– European Center for Digital Rights | Goldschlagstr. 172/4/3/2, 1140 Vienna, AUSTRIA | ZVR N°: 1354838270 noyb.eu | General email: </w:t>
      </w:r>
      <w:hyperlink r:id="rId5">
        <w:r>
          <w:rPr>
            <w:color w:val="FFFFFF"/>
            <w:sz w:val="18"/>
          </w:rPr>
          <w:t>info@noyb.eu </w:t>
        </w:r>
      </w:hyperlink>
      <w:r>
        <w:rPr>
          <w:color w:val="FFFFFF"/>
          <w:sz w:val="18"/>
        </w:rPr>
        <w:t>| IBAN: AT21 2011 1837 8146 6600</w:t>
      </w:r>
    </w:p>
    <w:p>
      <w:pPr>
        <w:spacing w:after="0" w:line="259" w:lineRule="auto"/>
        <w:jc w:val="left"/>
        <w:rPr>
          <w:sz w:val="18"/>
        </w:rPr>
        <w:sectPr>
          <w:type w:val="continuous"/>
          <w:pgSz w:w="11910" w:h="16840"/>
          <w:pgMar w:top="1080" w:bottom="0" w:left="1280" w:right="1280"/>
        </w:sectPr>
      </w:pPr>
    </w:p>
    <w:p>
      <w:pPr>
        <w:tabs>
          <w:tab w:pos="846" w:val="left" w:leader="none"/>
          <w:tab w:pos="9236" w:val="left" w:leader="none"/>
        </w:tabs>
        <w:spacing w:before="14"/>
        <w:ind w:left="107" w:right="0" w:firstLine="0"/>
        <w:jc w:val="both"/>
        <w:rPr>
          <w:b/>
          <w:sz w:val="28"/>
        </w:rPr>
      </w:pPr>
      <w:r>
        <w:rPr>
          <w:b/>
          <w:w w:val="100"/>
          <w:sz w:val="28"/>
          <w:shd w:fill="D9D9D9" w:color="auto" w:val="clear"/>
        </w:rPr>
        <w:t> </w:t>
      </w:r>
      <w:r>
        <w:rPr>
          <w:b/>
          <w:sz w:val="28"/>
          <w:shd w:fill="D9D9D9" w:color="auto" w:val="clear"/>
        </w:rPr>
        <w:tab/>
        <w:t>Request to a US importer, when using SCCs (case by case</w:t>
      </w:r>
      <w:r>
        <w:rPr>
          <w:b/>
          <w:spacing w:val="-19"/>
          <w:sz w:val="28"/>
          <w:shd w:fill="D9D9D9" w:color="auto" w:val="clear"/>
        </w:rPr>
        <w:t> </w:t>
      </w:r>
      <w:r>
        <w:rPr>
          <w:b/>
          <w:sz w:val="28"/>
          <w:shd w:fill="D9D9D9" w:color="auto" w:val="clear"/>
        </w:rPr>
        <w:t>analysis)</w:t>
        <w:tab/>
      </w:r>
    </w:p>
    <w:p>
      <w:pPr>
        <w:pStyle w:val="BodyText"/>
        <w:rPr>
          <w:b/>
          <w:sz w:val="28"/>
        </w:rPr>
      </w:pPr>
    </w:p>
    <w:p>
      <w:pPr>
        <w:pStyle w:val="BodyText"/>
        <w:rPr>
          <w:b/>
        </w:rPr>
      </w:pPr>
    </w:p>
    <w:p>
      <w:pPr>
        <w:pStyle w:val="BodyText"/>
        <w:spacing w:line="259" w:lineRule="auto"/>
        <w:ind w:left="135" w:right="131"/>
        <w:jc w:val="both"/>
      </w:pPr>
      <w:r>
        <w:rPr/>
        <w:t>Given the judgment of the Court of Justice of the European Union in C-311/18, especially paragraphs 138</w:t>
      </w:r>
      <w:r>
        <w:rPr>
          <w:spacing w:val="-12"/>
        </w:rPr>
        <w:t> </w:t>
      </w:r>
      <w:r>
        <w:rPr/>
        <w:t>to</w:t>
      </w:r>
      <w:r>
        <w:rPr>
          <w:spacing w:val="-14"/>
        </w:rPr>
        <w:t> </w:t>
      </w:r>
      <w:r>
        <w:rPr/>
        <w:t>145,</w:t>
      </w:r>
      <w:r>
        <w:rPr>
          <w:spacing w:val="-12"/>
        </w:rPr>
        <w:t> </w:t>
      </w:r>
      <w:r>
        <w:rPr/>
        <w:t>Clause</w:t>
      </w:r>
      <w:r>
        <w:rPr>
          <w:spacing w:val="-12"/>
        </w:rPr>
        <w:t> </w:t>
      </w:r>
      <w:r>
        <w:rPr/>
        <w:t>II</w:t>
      </w:r>
      <w:r>
        <w:rPr>
          <w:spacing w:val="-13"/>
        </w:rPr>
        <w:t> </w:t>
      </w:r>
      <w:r>
        <w:rPr/>
        <w:t>of</w:t>
      </w:r>
      <w:r>
        <w:rPr>
          <w:spacing w:val="-12"/>
        </w:rPr>
        <w:t> </w:t>
      </w:r>
      <w:r>
        <w:rPr/>
        <w:t>the</w:t>
      </w:r>
      <w:r>
        <w:rPr>
          <w:spacing w:val="-15"/>
        </w:rPr>
        <w:t> </w:t>
      </w:r>
      <w:r>
        <w:rPr/>
        <w:t>Annex</w:t>
      </w:r>
      <w:r>
        <w:rPr>
          <w:spacing w:val="-12"/>
        </w:rPr>
        <w:t> </w:t>
      </w:r>
      <w:r>
        <w:rPr/>
        <w:t>of</w:t>
      </w:r>
      <w:r>
        <w:rPr>
          <w:spacing w:val="-12"/>
        </w:rPr>
        <w:t> </w:t>
      </w:r>
      <w:r>
        <w:rPr/>
        <w:t>Decision</w:t>
      </w:r>
      <w:r>
        <w:rPr>
          <w:spacing w:val="-14"/>
        </w:rPr>
        <w:t> </w:t>
      </w:r>
      <w:r>
        <w:rPr/>
        <w:t>2004/915/EC,</w:t>
      </w:r>
      <w:r>
        <w:rPr>
          <w:spacing w:val="-13"/>
        </w:rPr>
        <w:t> </w:t>
      </w:r>
      <w:r>
        <w:rPr/>
        <w:t>and/or</w:t>
      </w:r>
      <w:r>
        <w:rPr>
          <w:spacing w:val="-12"/>
        </w:rPr>
        <w:t> </w:t>
      </w:r>
      <w:r>
        <w:rPr/>
        <w:t>Clause</w:t>
      </w:r>
      <w:r>
        <w:rPr>
          <w:spacing w:val="-12"/>
        </w:rPr>
        <w:t> </w:t>
      </w:r>
      <w:r>
        <w:rPr/>
        <w:t>5(b)</w:t>
      </w:r>
      <w:r>
        <w:rPr>
          <w:spacing w:val="-15"/>
        </w:rPr>
        <w:t> </w:t>
      </w:r>
      <w:r>
        <w:rPr/>
        <w:t>of</w:t>
      </w:r>
      <w:r>
        <w:rPr>
          <w:spacing w:val="-14"/>
        </w:rPr>
        <w:t> </w:t>
      </w:r>
      <w:r>
        <w:rPr/>
        <w:t>the</w:t>
      </w:r>
      <w:r>
        <w:rPr>
          <w:spacing w:val="-12"/>
        </w:rPr>
        <w:t> </w:t>
      </w:r>
      <w:r>
        <w:rPr/>
        <w:t>Annex</w:t>
      </w:r>
      <w:r>
        <w:rPr>
          <w:spacing w:val="-12"/>
        </w:rPr>
        <w:t> </w:t>
      </w:r>
      <w:r>
        <w:rPr/>
        <w:t>to</w:t>
      </w:r>
      <w:r>
        <w:rPr>
          <w:spacing w:val="-13"/>
        </w:rPr>
        <w:t> </w:t>
      </w:r>
      <w:r>
        <w:rPr/>
        <w:t>Decision 2010/87, we urgently seek clarification on the following</w:t>
      </w:r>
      <w:r>
        <w:rPr>
          <w:spacing w:val="-7"/>
        </w:rPr>
        <w:t> </w:t>
      </w:r>
      <w:r>
        <w:rPr/>
        <w:t>questions:</w:t>
      </w:r>
    </w:p>
    <w:p>
      <w:pPr>
        <w:pStyle w:val="BodyText"/>
      </w:pPr>
    </w:p>
    <w:p>
      <w:pPr>
        <w:pStyle w:val="BodyText"/>
        <w:spacing w:before="10"/>
        <w:rPr>
          <w:sz w:val="27"/>
        </w:rPr>
      </w:pPr>
    </w:p>
    <w:p>
      <w:pPr>
        <w:pStyle w:val="Heading1"/>
        <w:spacing w:before="0"/>
        <w:jc w:val="both"/>
      </w:pPr>
      <w:r>
        <w:rPr/>
        <w:t>Direct Application of 50 U.S.C. § 1881a (= FISA 702)</w:t>
      </w:r>
    </w:p>
    <w:p>
      <w:pPr>
        <w:pStyle w:val="ListParagraph"/>
        <w:numPr>
          <w:ilvl w:val="0"/>
          <w:numId w:val="1"/>
        </w:numPr>
        <w:tabs>
          <w:tab w:pos="497" w:val="left" w:leader="none"/>
        </w:tabs>
        <w:spacing w:line="259" w:lineRule="auto" w:before="183" w:after="0"/>
        <w:ind w:left="496" w:right="132" w:hanging="361"/>
        <w:jc w:val="left"/>
        <w:rPr>
          <w:sz w:val="22"/>
        </w:rPr>
      </w:pPr>
      <w:r>
        <w:rPr>
          <w:sz w:val="22"/>
        </w:rPr>
        <w:t>Do you or any other relevant US entity (controller or processor) that processes or has access to personal</w:t>
      </w:r>
      <w:r>
        <w:rPr>
          <w:spacing w:val="22"/>
          <w:sz w:val="22"/>
        </w:rPr>
        <w:t> </w:t>
      </w:r>
      <w:r>
        <w:rPr>
          <w:sz w:val="22"/>
        </w:rPr>
        <w:t>data</w:t>
      </w:r>
      <w:r>
        <w:rPr>
          <w:spacing w:val="23"/>
          <w:sz w:val="22"/>
        </w:rPr>
        <w:t> </w:t>
      </w:r>
      <w:r>
        <w:rPr>
          <w:sz w:val="22"/>
        </w:rPr>
        <w:t>that</w:t>
      </w:r>
      <w:r>
        <w:rPr>
          <w:spacing w:val="20"/>
          <w:sz w:val="22"/>
        </w:rPr>
        <w:t> </w:t>
      </w:r>
      <w:r>
        <w:rPr>
          <w:sz w:val="22"/>
        </w:rPr>
        <w:t>is</w:t>
      </w:r>
      <w:r>
        <w:rPr>
          <w:spacing w:val="21"/>
          <w:sz w:val="22"/>
        </w:rPr>
        <w:t> </w:t>
      </w:r>
      <w:r>
        <w:rPr>
          <w:sz w:val="22"/>
        </w:rPr>
        <w:t>transferred</w:t>
      </w:r>
      <w:r>
        <w:rPr>
          <w:spacing w:val="21"/>
          <w:sz w:val="22"/>
        </w:rPr>
        <w:t> </w:t>
      </w:r>
      <w:r>
        <w:rPr>
          <w:sz w:val="22"/>
        </w:rPr>
        <w:t>to</w:t>
      </w:r>
      <w:r>
        <w:rPr>
          <w:spacing w:val="22"/>
          <w:sz w:val="22"/>
        </w:rPr>
        <w:t> </w:t>
      </w:r>
      <w:r>
        <w:rPr>
          <w:sz w:val="22"/>
        </w:rPr>
        <w:t>you</w:t>
      </w:r>
      <w:r>
        <w:rPr>
          <w:spacing w:val="21"/>
          <w:sz w:val="22"/>
        </w:rPr>
        <w:t> </w:t>
      </w:r>
      <w:r>
        <w:rPr>
          <w:sz w:val="22"/>
        </w:rPr>
        <w:t>fall</w:t>
      </w:r>
      <w:r>
        <w:rPr>
          <w:spacing w:val="23"/>
          <w:sz w:val="22"/>
        </w:rPr>
        <w:t> </w:t>
      </w:r>
      <w:r>
        <w:rPr>
          <w:sz w:val="22"/>
        </w:rPr>
        <w:t>under</w:t>
      </w:r>
      <w:r>
        <w:rPr>
          <w:spacing w:val="20"/>
          <w:sz w:val="22"/>
        </w:rPr>
        <w:t> </w:t>
      </w:r>
      <w:r>
        <w:rPr>
          <w:sz w:val="22"/>
        </w:rPr>
        <w:t>one</w:t>
      </w:r>
      <w:r>
        <w:rPr>
          <w:spacing w:val="23"/>
          <w:sz w:val="22"/>
        </w:rPr>
        <w:t> </w:t>
      </w:r>
      <w:r>
        <w:rPr>
          <w:sz w:val="22"/>
        </w:rPr>
        <w:t>of</w:t>
      </w:r>
      <w:r>
        <w:rPr>
          <w:spacing w:val="21"/>
          <w:sz w:val="22"/>
        </w:rPr>
        <w:t> </w:t>
      </w:r>
      <w:r>
        <w:rPr>
          <w:sz w:val="22"/>
        </w:rPr>
        <w:t>the</w:t>
      </w:r>
      <w:r>
        <w:rPr>
          <w:spacing w:val="21"/>
          <w:sz w:val="22"/>
        </w:rPr>
        <w:t> </w:t>
      </w:r>
      <w:r>
        <w:rPr>
          <w:sz w:val="22"/>
        </w:rPr>
        <w:t>following</w:t>
      </w:r>
      <w:r>
        <w:rPr>
          <w:spacing w:val="21"/>
          <w:sz w:val="22"/>
        </w:rPr>
        <w:t> </w:t>
      </w:r>
      <w:r>
        <w:rPr>
          <w:sz w:val="22"/>
        </w:rPr>
        <w:t>definitions</w:t>
      </w:r>
      <w:r>
        <w:rPr>
          <w:spacing w:val="23"/>
          <w:sz w:val="22"/>
        </w:rPr>
        <w:t> </w:t>
      </w:r>
      <w:r>
        <w:rPr>
          <w:sz w:val="22"/>
        </w:rPr>
        <w:t>in</w:t>
      </w:r>
      <w:r>
        <w:rPr>
          <w:spacing w:val="19"/>
          <w:sz w:val="22"/>
        </w:rPr>
        <w:t> </w:t>
      </w:r>
      <w:r>
        <w:rPr>
          <w:sz w:val="22"/>
        </w:rPr>
        <w:t>50</w:t>
      </w:r>
      <w:r>
        <w:rPr>
          <w:spacing w:val="22"/>
          <w:sz w:val="22"/>
        </w:rPr>
        <w:t> </w:t>
      </w:r>
      <w:r>
        <w:rPr>
          <w:sz w:val="22"/>
        </w:rPr>
        <w:t>U.S.C.</w:t>
      </w:r>
    </w:p>
    <w:p>
      <w:pPr>
        <w:pStyle w:val="BodyText"/>
        <w:spacing w:line="256" w:lineRule="auto"/>
        <w:ind w:left="495" w:right="284"/>
      </w:pPr>
      <w:r>
        <w:rPr/>
        <w:t>§ 1881(b)(4), that could render you or the other entit(ies) directly subject to 50 U.S.C. § 1881a    (= FISA 702)?</w:t>
      </w:r>
    </w:p>
    <w:p>
      <w:pPr>
        <w:pStyle w:val="BodyText"/>
        <w:spacing w:before="3"/>
        <w:rPr>
          <w:sz w:val="24"/>
        </w:rPr>
      </w:pPr>
    </w:p>
    <w:p>
      <w:pPr>
        <w:pStyle w:val="ListParagraph"/>
        <w:numPr>
          <w:ilvl w:val="1"/>
          <w:numId w:val="1"/>
        </w:numPr>
        <w:tabs>
          <w:tab w:pos="1115" w:val="left" w:leader="none"/>
          <w:tab w:pos="1764" w:val="left" w:leader="none"/>
          <w:tab w:pos="3015" w:val="left" w:leader="none"/>
        </w:tabs>
        <w:spacing w:line="240" w:lineRule="auto" w:before="0" w:after="0"/>
        <w:ind w:left="1114" w:right="0" w:hanging="272"/>
        <w:jc w:val="left"/>
        <w:rPr>
          <w:sz w:val="22"/>
        </w:rPr>
      </w:pPr>
      <w:r>
        <w:rPr>
          <w:sz w:val="22"/>
        </w:rPr>
        <w:t>Yes</w:t>
        <w:tab/>
      </w:r>
      <w:r>
        <w:rPr>
          <w:rFonts w:ascii="MS Gothic" w:hAnsi="MS Gothic"/>
          <w:sz w:val="22"/>
        </w:rPr>
        <w:t>☐</w:t>
      </w:r>
      <w:r>
        <w:rPr>
          <w:rFonts w:ascii="MS Gothic" w:hAnsi="MS Gothic"/>
          <w:spacing w:val="-60"/>
          <w:sz w:val="22"/>
        </w:rPr>
        <w:t> </w:t>
      </w:r>
      <w:r>
        <w:rPr>
          <w:sz w:val="22"/>
        </w:rPr>
        <w:t>No</w:t>
        <w:tab/>
      </w:r>
      <w:r>
        <w:rPr>
          <w:rFonts w:ascii="MS Gothic" w:hAnsi="MS Gothic"/>
          <w:sz w:val="22"/>
        </w:rPr>
        <w:t>☐</w:t>
      </w:r>
      <w:r>
        <w:rPr>
          <w:rFonts w:ascii="MS Gothic" w:hAnsi="MS Gothic"/>
          <w:spacing w:val="-72"/>
          <w:sz w:val="22"/>
        </w:rPr>
        <w:t> </w:t>
      </w:r>
      <w:r>
        <w:rPr>
          <w:sz w:val="22"/>
        </w:rPr>
        <w:t>We are under a legal obligation not to answer this question</w:t>
      </w:r>
    </w:p>
    <w:p>
      <w:pPr>
        <w:pStyle w:val="BodyText"/>
        <w:spacing w:before="9"/>
        <w:rPr>
          <w:sz w:val="25"/>
        </w:rPr>
      </w:pPr>
    </w:p>
    <w:p>
      <w:pPr>
        <w:pStyle w:val="ListParagraph"/>
        <w:numPr>
          <w:ilvl w:val="0"/>
          <w:numId w:val="1"/>
        </w:numPr>
        <w:tabs>
          <w:tab w:pos="496" w:val="left" w:leader="none"/>
        </w:tabs>
        <w:spacing w:line="240" w:lineRule="auto" w:before="0" w:after="0"/>
        <w:ind w:left="495" w:right="0" w:hanging="361"/>
        <w:jc w:val="left"/>
        <w:rPr>
          <w:sz w:val="22"/>
        </w:rPr>
      </w:pPr>
      <w:r>
        <w:rPr>
          <w:sz w:val="22"/>
        </w:rPr>
        <w:t>Especially,</w:t>
      </w:r>
    </w:p>
    <w:p>
      <w:pPr>
        <w:pStyle w:val="BodyText"/>
        <w:spacing w:before="4"/>
        <w:rPr>
          <w:sz w:val="25"/>
        </w:rPr>
      </w:pPr>
    </w:p>
    <w:p>
      <w:pPr>
        <w:pStyle w:val="ListParagraph"/>
        <w:numPr>
          <w:ilvl w:val="0"/>
          <w:numId w:val="2"/>
        </w:numPr>
        <w:tabs>
          <w:tab w:pos="857" w:val="left" w:leader="none"/>
        </w:tabs>
        <w:spacing w:line="240" w:lineRule="auto" w:before="0" w:after="0"/>
        <w:ind w:left="856" w:right="133" w:hanging="361"/>
        <w:jc w:val="left"/>
        <w:rPr>
          <w:sz w:val="22"/>
        </w:rPr>
      </w:pPr>
      <w:r>
        <w:rPr>
          <w:sz w:val="22"/>
        </w:rPr>
        <w:t>are you or any other relevant US entity a telecommunications carrier, as that term is defined in section 153 of title 47</w:t>
      </w:r>
      <w:r>
        <w:rPr>
          <w:spacing w:val="-4"/>
          <w:sz w:val="22"/>
        </w:rPr>
        <w:t> </w:t>
      </w:r>
      <w:r>
        <w:rPr>
          <w:sz w:val="22"/>
        </w:rPr>
        <w:t>U.S.C.;</w:t>
      </w:r>
    </w:p>
    <w:p>
      <w:pPr>
        <w:pStyle w:val="BodyText"/>
        <w:spacing w:before="2"/>
      </w:pPr>
    </w:p>
    <w:p>
      <w:pPr>
        <w:pStyle w:val="ListParagraph"/>
        <w:numPr>
          <w:ilvl w:val="1"/>
          <w:numId w:val="2"/>
        </w:numPr>
        <w:tabs>
          <w:tab w:pos="1128" w:val="left" w:leader="none"/>
          <w:tab w:pos="1777" w:val="left" w:leader="none"/>
          <w:tab w:pos="3065" w:val="left" w:leader="none"/>
        </w:tabs>
        <w:spacing w:line="240" w:lineRule="auto" w:before="0" w:after="0"/>
        <w:ind w:left="1127" w:right="0" w:hanging="272"/>
        <w:jc w:val="left"/>
        <w:rPr>
          <w:sz w:val="22"/>
        </w:rPr>
      </w:pPr>
      <w:r>
        <w:rPr>
          <w:sz w:val="22"/>
        </w:rPr>
        <w:t>Yes</w:t>
        <w:tab/>
      </w:r>
      <w:r>
        <w:rPr>
          <w:rFonts w:ascii="MS Gothic" w:hAnsi="MS Gothic"/>
          <w:sz w:val="22"/>
        </w:rPr>
        <w:t>☐</w:t>
      </w:r>
      <w:r>
        <w:rPr>
          <w:rFonts w:ascii="MS Gothic" w:hAnsi="MS Gothic"/>
          <w:spacing w:val="-60"/>
          <w:sz w:val="22"/>
        </w:rPr>
        <w:t> </w:t>
      </w:r>
      <w:r>
        <w:rPr>
          <w:sz w:val="22"/>
        </w:rPr>
        <w:t>No</w:t>
        <w:tab/>
      </w:r>
      <w:r>
        <w:rPr>
          <w:rFonts w:ascii="MS Gothic" w:hAnsi="MS Gothic"/>
          <w:sz w:val="22"/>
        </w:rPr>
        <w:t>☐</w:t>
      </w:r>
      <w:r>
        <w:rPr>
          <w:rFonts w:ascii="MS Gothic" w:hAnsi="MS Gothic"/>
          <w:spacing w:val="-72"/>
          <w:sz w:val="22"/>
        </w:rPr>
        <w:t> </w:t>
      </w:r>
      <w:r>
        <w:rPr>
          <w:sz w:val="22"/>
        </w:rPr>
        <w:t>We are under a legal obligation not to answer this question</w:t>
      </w:r>
    </w:p>
    <w:p>
      <w:pPr>
        <w:pStyle w:val="BodyText"/>
        <w:spacing w:before="9"/>
        <w:rPr>
          <w:sz w:val="25"/>
        </w:rPr>
      </w:pPr>
    </w:p>
    <w:p>
      <w:pPr>
        <w:pStyle w:val="ListParagraph"/>
        <w:numPr>
          <w:ilvl w:val="0"/>
          <w:numId w:val="2"/>
        </w:numPr>
        <w:tabs>
          <w:tab w:pos="856" w:val="left" w:leader="none"/>
        </w:tabs>
        <w:spacing w:line="240" w:lineRule="auto" w:before="1" w:after="0"/>
        <w:ind w:left="855" w:right="137" w:hanging="360"/>
        <w:jc w:val="left"/>
        <w:rPr>
          <w:sz w:val="22"/>
        </w:rPr>
      </w:pPr>
      <w:r>
        <w:rPr>
          <w:sz w:val="22"/>
        </w:rPr>
        <w:t>are</w:t>
      </w:r>
      <w:r>
        <w:rPr>
          <w:spacing w:val="-9"/>
          <w:sz w:val="22"/>
        </w:rPr>
        <w:t> </w:t>
      </w:r>
      <w:r>
        <w:rPr>
          <w:sz w:val="22"/>
        </w:rPr>
        <w:t>you</w:t>
      </w:r>
      <w:r>
        <w:rPr>
          <w:spacing w:val="-9"/>
          <w:sz w:val="22"/>
        </w:rPr>
        <w:t> </w:t>
      </w:r>
      <w:r>
        <w:rPr>
          <w:sz w:val="22"/>
        </w:rPr>
        <w:t>or</w:t>
      </w:r>
      <w:r>
        <w:rPr>
          <w:spacing w:val="-9"/>
          <w:sz w:val="22"/>
        </w:rPr>
        <w:t> </w:t>
      </w:r>
      <w:r>
        <w:rPr>
          <w:sz w:val="22"/>
        </w:rPr>
        <w:t>any</w:t>
      </w:r>
      <w:r>
        <w:rPr>
          <w:spacing w:val="-8"/>
          <w:sz w:val="22"/>
        </w:rPr>
        <w:t> </w:t>
      </w:r>
      <w:r>
        <w:rPr>
          <w:sz w:val="22"/>
        </w:rPr>
        <w:t>other</w:t>
      </w:r>
      <w:r>
        <w:rPr>
          <w:spacing w:val="-8"/>
          <w:sz w:val="22"/>
        </w:rPr>
        <w:t> </w:t>
      </w:r>
      <w:r>
        <w:rPr>
          <w:sz w:val="22"/>
        </w:rPr>
        <w:t>relevant</w:t>
      </w:r>
      <w:r>
        <w:rPr>
          <w:spacing w:val="-8"/>
          <w:sz w:val="22"/>
        </w:rPr>
        <w:t> </w:t>
      </w:r>
      <w:r>
        <w:rPr>
          <w:sz w:val="22"/>
        </w:rPr>
        <w:t>US</w:t>
      </w:r>
      <w:r>
        <w:rPr>
          <w:spacing w:val="-9"/>
          <w:sz w:val="22"/>
        </w:rPr>
        <w:t> </w:t>
      </w:r>
      <w:r>
        <w:rPr>
          <w:sz w:val="22"/>
        </w:rPr>
        <w:t>entity</w:t>
      </w:r>
      <w:r>
        <w:rPr>
          <w:spacing w:val="-11"/>
          <w:sz w:val="22"/>
        </w:rPr>
        <w:t> </w:t>
      </w:r>
      <w:r>
        <w:rPr>
          <w:sz w:val="22"/>
        </w:rPr>
        <w:t>a</w:t>
      </w:r>
      <w:r>
        <w:rPr>
          <w:spacing w:val="-9"/>
          <w:sz w:val="22"/>
        </w:rPr>
        <w:t> </w:t>
      </w:r>
      <w:r>
        <w:rPr>
          <w:sz w:val="22"/>
        </w:rPr>
        <w:t>provider</w:t>
      </w:r>
      <w:r>
        <w:rPr>
          <w:spacing w:val="-10"/>
          <w:sz w:val="22"/>
        </w:rPr>
        <w:t> </w:t>
      </w:r>
      <w:r>
        <w:rPr>
          <w:sz w:val="22"/>
        </w:rPr>
        <w:t>of</w:t>
      </w:r>
      <w:r>
        <w:rPr>
          <w:spacing w:val="-9"/>
          <w:sz w:val="22"/>
        </w:rPr>
        <w:t> </w:t>
      </w:r>
      <w:r>
        <w:rPr>
          <w:sz w:val="22"/>
        </w:rPr>
        <w:t>electronic</w:t>
      </w:r>
      <w:r>
        <w:rPr>
          <w:spacing w:val="-8"/>
          <w:sz w:val="22"/>
        </w:rPr>
        <w:t> </w:t>
      </w:r>
      <w:r>
        <w:rPr>
          <w:sz w:val="22"/>
        </w:rPr>
        <w:t>communication</w:t>
      </w:r>
      <w:r>
        <w:rPr>
          <w:spacing w:val="-10"/>
          <w:sz w:val="22"/>
        </w:rPr>
        <w:t> </w:t>
      </w:r>
      <w:r>
        <w:rPr>
          <w:sz w:val="22"/>
        </w:rPr>
        <w:t>service,</w:t>
      </w:r>
      <w:r>
        <w:rPr>
          <w:spacing w:val="-8"/>
          <w:sz w:val="22"/>
        </w:rPr>
        <w:t> </w:t>
      </w:r>
      <w:r>
        <w:rPr>
          <w:sz w:val="22"/>
        </w:rPr>
        <w:t>as</w:t>
      </w:r>
      <w:r>
        <w:rPr>
          <w:spacing w:val="-9"/>
          <w:sz w:val="22"/>
        </w:rPr>
        <w:t> </w:t>
      </w:r>
      <w:r>
        <w:rPr>
          <w:sz w:val="22"/>
        </w:rPr>
        <w:t>that term is defined in section 2510 of title 18</w:t>
      </w:r>
      <w:r>
        <w:rPr>
          <w:spacing w:val="-12"/>
          <w:sz w:val="22"/>
        </w:rPr>
        <w:t> </w:t>
      </w:r>
      <w:r>
        <w:rPr>
          <w:sz w:val="22"/>
        </w:rPr>
        <w:t>U.S.C.;</w:t>
      </w:r>
    </w:p>
    <w:p>
      <w:pPr>
        <w:pStyle w:val="BodyText"/>
        <w:spacing w:before="1"/>
      </w:pPr>
    </w:p>
    <w:p>
      <w:pPr>
        <w:pStyle w:val="ListParagraph"/>
        <w:numPr>
          <w:ilvl w:val="1"/>
          <w:numId w:val="2"/>
        </w:numPr>
        <w:tabs>
          <w:tab w:pos="1127" w:val="left" w:leader="none"/>
          <w:tab w:pos="1776" w:val="left" w:leader="none"/>
          <w:tab w:pos="3065" w:val="left" w:leader="none"/>
        </w:tabs>
        <w:spacing w:line="240" w:lineRule="auto" w:before="1" w:after="0"/>
        <w:ind w:left="1126" w:right="0" w:hanging="272"/>
        <w:jc w:val="left"/>
        <w:rPr>
          <w:sz w:val="22"/>
        </w:rPr>
      </w:pPr>
      <w:r>
        <w:rPr>
          <w:sz w:val="22"/>
        </w:rPr>
        <w:t>Yes</w:t>
        <w:tab/>
      </w:r>
      <w:r>
        <w:rPr>
          <w:rFonts w:ascii="MS Gothic" w:hAnsi="MS Gothic"/>
          <w:sz w:val="22"/>
        </w:rPr>
        <w:t>☐</w:t>
      </w:r>
      <w:r>
        <w:rPr>
          <w:rFonts w:ascii="MS Gothic" w:hAnsi="MS Gothic"/>
          <w:spacing w:val="-60"/>
          <w:sz w:val="22"/>
        </w:rPr>
        <w:t> </w:t>
      </w:r>
      <w:r>
        <w:rPr>
          <w:sz w:val="22"/>
        </w:rPr>
        <w:t>No</w:t>
        <w:tab/>
      </w:r>
      <w:r>
        <w:rPr>
          <w:rFonts w:ascii="MS Gothic" w:hAnsi="MS Gothic"/>
          <w:sz w:val="22"/>
        </w:rPr>
        <w:t>☐</w:t>
      </w:r>
      <w:r>
        <w:rPr>
          <w:rFonts w:ascii="MS Gothic" w:hAnsi="MS Gothic"/>
          <w:spacing w:val="-72"/>
          <w:sz w:val="22"/>
        </w:rPr>
        <w:t> </w:t>
      </w:r>
      <w:r>
        <w:rPr>
          <w:sz w:val="22"/>
        </w:rPr>
        <w:t>We are under a legal obligation not to answer this question</w:t>
      </w:r>
    </w:p>
    <w:p>
      <w:pPr>
        <w:pStyle w:val="BodyText"/>
        <w:spacing w:before="11"/>
        <w:rPr>
          <w:sz w:val="23"/>
        </w:rPr>
      </w:pPr>
    </w:p>
    <w:p>
      <w:pPr>
        <w:pStyle w:val="ListParagraph"/>
        <w:numPr>
          <w:ilvl w:val="0"/>
          <w:numId w:val="2"/>
        </w:numPr>
        <w:tabs>
          <w:tab w:pos="856" w:val="left" w:leader="none"/>
        </w:tabs>
        <w:spacing w:line="240" w:lineRule="auto" w:before="0" w:after="0"/>
        <w:ind w:left="854" w:right="134" w:hanging="360"/>
        <w:jc w:val="left"/>
        <w:rPr>
          <w:sz w:val="22"/>
        </w:rPr>
      </w:pPr>
      <w:r>
        <w:rPr>
          <w:sz w:val="22"/>
        </w:rPr>
        <w:t>are</w:t>
      </w:r>
      <w:r>
        <w:rPr>
          <w:spacing w:val="-5"/>
          <w:sz w:val="22"/>
        </w:rPr>
        <w:t> </w:t>
      </w:r>
      <w:r>
        <w:rPr>
          <w:sz w:val="22"/>
        </w:rPr>
        <w:t>you</w:t>
      </w:r>
      <w:r>
        <w:rPr>
          <w:spacing w:val="-6"/>
          <w:sz w:val="22"/>
        </w:rPr>
        <w:t> </w:t>
      </w:r>
      <w:r>
        <w:rPr>
          <w:sz w:val="22"/>
        </w:rPr>
        <w:t>or</w:t>
      </w:r>
      <w:r>
        <w:rPr>
          <w:spacing w:val="-8"/>
          <w:sz w:val="22"/>
        </w:rPr>
        <w:t> </w:t>
      </w:r>
      <w:r>
        <w:rPr>
          <w:sz w:val="22"/>
        </w:rPr>
        <w:t>any</w:t>
      </w:r>
      <w:r>
        <w:rPr>
          <w:spacing w:val="-7"/>
          <w:sz w:val="22"/>
        </w:rPr>
        <w:t> </w:t>
      </w:r>
      <w:r>
        <w:rPr>
          <w:sz w:val="22"/>
        </w:rPr>
        <w:t>other</w:t>
      </w:r>
      <w:r>
        <w:rPr>
          <w:spacing w:val="-6"/>
          <w:sz w:val="22"/>
        </w:rPr>
        <w:t> </w:t>
      </w:r>
      <w:r>
        <w:rPr>
          <w:sz w:val="22"/>
        </w:rPr>
        <w:t>relevant</w:t>
      </w:r>
      <w:r>
        <w:rPr>
          <w:spacing w:val="-5"/>
          <w:sz w:val="22"/>
        </w:rPr>
        <w:t> </w:t>
      </w:r>
      <w:r>
        <w:rPr>
          <w:sz w:val="22"/>
        </w:rPr>
        <w:t>US</w:t>
      </w:r>
      <w:r>
        <w:rPr>
          <w:spacing w:val="-6"/>
          <w:sz w:val="22"/>
        </w:rPr>
        <w:t> </w:t>
      </w:r>
      <w:r>
        <w:rPr>
          <w:sz w:val="22"/>
        </w:rPr>
        <w:t>entity</w:t>
      </w:r>
      <w:r>
        <w:rPr>
          <w:spacing w:val="-5"/>
          <w:sz w:val="22"/>
        </w:rPr>
        <w:t> </w:t>
      </w:r>
      <w:r>
        <w:rPr>
          <w:sz w:val="22"/>
        </w:rPr>
        <w:t>a</w:t>
      </w:r>
      <w:r>
        <w:rPr>
          <w:spacing w:val="-6"/>
          <w:sz w:val="22"/>
        </w:rPr>
        <w:t> </w:t>
      </w:r>
      <w:r>
        <w:rPr>
          <w:sz w:val="22"/>
        </w:rPr>
        <w:t>provider</w:t>
      </w:r>
      <w:r>
        <w:rPr>
          <w:spacing w:val="-8"/>
          <w:sz w:val="22"/>
        </w:rPr>
        <w:t> </w:t>
      </w:r>
      <w:r>
        <w:rPr>
          <w:sz w:val="22"/>
        </w:rPr>
        <w:t>of</w:t>
      </w:r>
      <w:r>
        <w:rPr>
          <w:spacing w:val="-6"/>
          <w:sz w:val="22"/>
        </w:rPr>
        <w:t> </w:t>
      </w:r>
      <w:r>
        <w:rPr>
          <w:sz w:val="22"/>
        </w:rPr>
        <w:t>a</w:t>
      </w:r>
      <w:r>
        <w:rPr>
          <w:spacing w:val="-7"/>
          <w:sz w:val="22"/>
        </w:rPr>
        <w:t> </w:t>
      </w:r>
      <w:r>
        <w:rPr>
          <w:sz w:val="22"/>
        </w:rPr>
        <w:t>remote</w:t>
      </w:r>
      <w:r>
        <w:rPr>
          <w:spacing w:val="-5"/>
          <w:sz w:val="22"/>
        </w:rPr>
        <w:t> </w:t>
      </w:r>
      <w:r>
        <w:rPr>
          <w:sz w:val="22"/>
        </w:rPr>
        <w:t>computing</w:t>
      </w:r>
      <w:r>
        <w:rPr>
          <w:spacing w:val="-6"/>
          <w:sz w:val="22"/>
        </w:rPr>
        <w:t> </w:t>
      </w:r>
      <w:r>
        <w:rPr>
          <w:sz w:val="22"/>
        </w:rPr>
        <w:t>service,</w:t>
      </w:r>
      <w:r>
        <w:rPr>
          <w:spacing w:val="-8"/>
          <w:sz w:val="22"/>
        </w:rPr>
        <w:t> </w:t>
      </w:r>
      <w:r>
        <w:rPr>
          <w:sz w:val="22"/>
        </w:rPr>
        <w:t>as</w:t>
      </w:r>
      <w:r>
        <w:rPr>
          <w:spacing w:val="-6"/>
          <w:sz w:val="22"/>
        </w:rPr>
        <w:t> </w:t>
      </w:r>
      <w:r>
        <w:rPr>
          <w:sz w:val="22"/>
        </w:rPr>
        <w:t>that</w:t>
      </w:r>
      <w:r>
        <w:rPr>
          <w:spacing w:val="-5"/>
          <w:sz w:val="22"/>
        </w:rPr>
        <w:t> </w:t>
      </w:r>
      <w:r>
        <w:rPr>
          <w:sz w:val="22"/>
        </w:rPr>
        <w:t>term is defined in section 2711 of title 18</w:t>
      </w:r>
      <w:r>
        <w:rPr>
          <w:spacing w:val="-7"/>
          <w:sz w:val="22"/>
        </w:rPr>
        <w:t> </w:t>
      </w:r>
      <w:r>
        <w:rPr>
          <w:sz w:val="22"/>
        </w:rPr>
        <w:t>U.S.C.;</w:t>
      </w:r>
    </w:p>
    <w:p>
      <w:pPr>
        <w:pStyle w:val="BodyText"/>
        <w:spacing w:before="2"/>
      </w:pPr>
    </w:p>
    <w:p>
      <w:pPr>
        <w:pStyle w:val="ListParagraph"/>
        <w:numPr>
          <w:ilvl w:val="1"/>
          <w:numId w:val="2"/>
        </w:numPr>
        <w:tabs>
          <w:tab w:pos="1127" w:val="left" w:leader="none"/>
          <w:tab w:pos="1776" w:val="left" w:leader="none"/>
          <w:tab w:pos="3064" w:val="left" w:leader="none"/>
        </w:tabs>
        <w:spacing w:line="240" w:lineRule="auto" w:before="1" w:after="0"/>
        <w:ind w:left="1126" w:right="0" w:hanging="273"/>
        <w:jc w:val="left"/>
        <w:rPr>
          <w:sz w:val="22"/>
        </w:rPr>
      </w:pPr>
      <w:r>
        <w:rPr>
          <w:sz w:val="22"/>
        </w:rPr>
        <w:t>Yes</w:t>
        <w:tab/>
      </w:r>
      <w:r>
        <w:rPr>
          <w:rFonts w:ascii="MS Gothic" w:hAnsi="MS Gothic"/>
          <w:sz w:val="22"/>
        </w:rPr>
        <w:t>☐</w:t>
      </w:r>
      <w:r>
        <w:rPr>
          <w:rFonts w:ascii="MS Gothic" w:hAnsi="MS Gothic"/>
          <w:spacing w:val="-60"/>
          <w:sz w:val="22"/>
        </w:rPr>
        <w:t> </w:t>
      </w:r>
      <w:r>
        <w:rPr>
          <w:sz w:val="22"/>
        </w:rPr>
        <w:t>No</w:t>
        <w:tab/>
      </w:r>
      <w:r>
        <w:rPr>
          <w:rFonts w:ascii="MS Gothic" w:hAnsi="MS Gothic"/>
          <w:sz w:val="22"/>
        </w:rPr>
        <w:t>☐</w:t>
      </w:r>
      <w:r>
        <w:rPr>
          <w:rFonts w:ascii="MS Gothic" w:hAnsi="MS Gothic"/>
          <w:spacing w:val="-71"/>
          <w:sz w:val="22"/>
        </w:rPr>
        <w:t> </w:t>
      </w:r>
      <w:r>
        <w:rPr>
          <w:sz w:val="22"/>
        </w:rPr>
        <w:t>We are under a legal obligation not to answer this question</w:t>
      </w:r>
    </w:p>
    <w:p>
      <w:pPr>
        <w:pStyle w:val="BodyText"/>
        <w:spacing w:before="8"/>
        <w:rPr>
          <w:sz w:val="25"/>
        </w:rPr>
      </w:pPr>
    </w:p>
    <w:p>
      <w:pPr>
        <w:pStyle w:val="ListParagraph"/>
        <w:numPr>
          <w:ilvl w:val="0"/>
          <w:numId w:val="2"/>
        </w:numPr>
        <w:tabs>
          <w:tab w:pos="855" w:val="left" w:leader="none"/>
        </w:tabs>
        <w:spacing w:line="240" w:lineRule="auto" w:before="1" w:after="0"/>
        <w:ind w:left="854" w:right="134" w:hanging="360"/>
        <w:jc w:val="both"/>
        <w:rPr>
          <w:sz w:val="22"/>
        </w:rPr>
      </w:pPr>
      <w:r>
        <w:rPr>
          <w:sz w:val="22"/>
        </w:rPr>
        <w:t>are you or any other relevant US entity any other communication service provider who has access to wire or electronic communications either as such communications are transmitted or as such communications are stored;</w:t>
      </w:r>
      <w:r>
        <w:rPr>
          <w:spacing w:val="-6"/>
          <w:sz w:val="22"/>
        </w:rPr>
        <w:t> </w:t>
      </w:r>
      <w:r>
        <w:rPr>
          <w:sz w:val="22"/>
        </w:rPr>
        <w:t>or</w:t>
      </w:r>
    </w:p>
    <w:p>
      <w:pPr>
        <w:pStyle w:val="BodyText"/>
        <w:spacing w:before="12"/>
        <w:rPr>
          <w:sz w:val="21"/>
        </w:rPr>
      </w:pPr>
    </w:p>
    <w:p>
      <w:pPr>
        <w:pStyle w:val="ListParagraph"/>
        <w:numPr>
          <w:ilvl w:val="1"/>
          <w:numId w:val="2"/>
        </w:numPr>
        <w:tabs>
          <w:tab w:pos="1126" w:val="left" w:leader="none"/>
          <w:tab w:pos="1775" w:val="left" w:leader="none"/>
          <w:tab w:pos="3064" w:val="left" w:leader="none"/>
        </w:tabs>
        <w:spacing w:line="240" w:lineRule="auto" w:before="0" w:after="0"/>
        <w:ind w:left="1125" w:right="0" w:hanging="272"/>
        <w:jc w:val="left"/>
        <w:rPr>
          <w:sz w:val="22"/>
        </w:rPr>
      </w:pPr>
      <w:r>
        <w:rPr>
          <w:sz w:val="22"/>
        </w:rPr>
        <w:t>Yes</w:t>
        <w:tab/>
      </w:r>
      <w:r>
        <w:rPr>
          <w:rFonts w:ascii="MS Gothic" w:hAnsi="MS Gothic"/>
          <w:sz w:val="22"/>
        </w:rPr>
        <w:t>☐</w:t>
      </w:r>
      <w:r>
        <w:rPr>
          <w:rFonts w:ascii="MS Gothic" w:hAnsi="MS Gothic"/>
          <w:spacing w:val="-60"/>
          <w:sz w:val="22"/>
        </w:rPr>
        <w:t> </w:t>
      </w:r>
      <w:r>
        <w:rPr>
          <w:sz w:val="22"/>
        </w:rPr>
        <w:t>No</w:t>
        <w:tab/>
      </w:r>
      <w:r>
        <w:rPr>
          <w:rFonts w:ascii="MS Gothic" w:hAnsi="MS Gothic"/>
          <w:sz w:val="22"/>
        </w:rPr>
        <w:t>☐</w:t>
      </w:r>
      <w:r>
        <w:rPr>
          <w:rFonts w:ascii="MS Gothic" w:hAnsi="MS Gothic"/>
          <w:spacing w:val="-72"/>
          <w:sz w:val="22"/>
        </w:rPr>
        <w:t> </w:t>
      </w:r>
      <w:r>
        <w:rPr>
          <w:sz w:val="22"/>
        </w:rPr>
        <w:t>We are under a legal obligation not to answer this question</w:t>
      </w:r>
    </w:p>
    <w:p>
      <w:pPr>
        <w:pStyle w:val="BodyText"/>
        <w:spacing w:before="12"/>
        <w:rPr>
          <w:sz w:val="23"/>
        </w:rPr>
      </w:pPr>
    </w:p>
    <w:p>
      <w:pPr>
        <w:pStyle w:val="ListParagraph"/>
        <w:numPr>
          <w:ilvl w:val="0"/>
          <w:numId w:val="2"/>
        </w:numPr>
        <w:tabs>
          <w:tab w:pos="855" w:val="left" w:leader="none"/>
        </w:tabs>
        <w:spacing w:line="240" w:lineRule="auto" w:before="0" w:after="0"/>
        <w:ind w:left="854" w:right="134" w:hanging="360"/>
        <w:jc w:val="left"/>
        <w:rPr>
          <w:sz w:val="22"/>
        </w:rPr>
      </w:pPr>
      <w:r>
        <w:rPr>
          <w:sz w:val="22"/>
        </w:rPr>
        <w:t>are you or any other relevant US entity an officer, employee, or agent of an entity described in (A), (B), (C), or</w:t>
      </w:r>
      <w:r>
        <w:rPr>
          <w:spacing w:val="-7"/>
          <w:sz w:val="22"/>
        </w:rPr>
        <w:t> </w:t>
      </w:r>
      <w:r>
        <w:rPr>
          <w:sz w:val="22"/>
        </w:rPr>
        <w:t>(D)?</w:t>
      </w:r>
    </w:p>
    <w:p>
      <w:pPr>
        <w:pStyle w:val="BodyText"/>
        <w:spacing w:before="2"/>
      </w:pPr>
    </w:p>
    <w:p>
      <w:pPr>
        <w:pStyle w:val="ListParagraph"/>
        <w:numPr>
          <w:ilvl w:val="1"/>
          <w:numId w:val="2"/>
        </w:numPr>
        <w:tabs>
          <w:tab w:pos="1126" w:val="left" w:leader="none"/>
          <w:tab w:pos="1775" w:val="left" w:leader="none"/>
          <w:tab w:pos="3064" w:val="left" w:leader="none"/>
        </w:tabs>
        <w:spacing w:line="240" w:lineRule="auto" w:before="0" w:after="0"/>
        <w:ind w:left="1125" w:right="0" w:hanging="272"/>
        <w:jc w:val="left"/>
        <w:rPr>
          <w:sz w:val="22"/>
        </w:rPr>
      </w:pPr>
      <w:r>
        <w:rPr>
          <w:sz w:val="22"/>
        </w:rPr>
        <w:t>Yes</w:t>
        <w:tab/>
      </w:r>
      <w:r>
        <w:rPr>
          <w:rFonts w:ascii="MS Gothic" w:hAnsi="MS Gothic"/>
          <w:sz w:val="22"/>
        </w:rPr>
        <w:t>☐</w:t>
      </w:r>
      <w:r>
        <w:rPr>
          <w:rFonts w:ascii="MS Gothic" w:hAnsi="MS Gothic"/>
          <w:spacing w:val="-60"/>
          <w:sz w:val="22"/>
        </w:rPr>
        <w:t> </w:t>
      </w:r>
      <w:r>
        <w:rPr>
          <w:sz w:val="22"/>
        </w:rPr>
        <w:t>No</w:t>
        <w:tab/>
      </w:r>
      <w:r>
        <w:rPr>
          <w:rFonts w:ascii="MS Gothic" w:hAnsi="MS Gothic"/>
          <w:sz w:val="22"/>
        </w:rPr>
        <w:t>☐</w:t>
      </w:r>
      <w:r>
        <w:rPr>
          <w:rFonts w:ascii="MS Gothic" w:hAnsi="MS Gothic"/>
          <w:spacing w:val="-71"/>
          <w:sz w:val="22"/>
        </w:rPr>
        <w:t> </w:t>
      </w:r>
      <w:r>
        <w:rPr>
          <w:sz w:val="22"/>
        </w:rPr>
        <w:t>We are under a legal obligation not to answer this question</w:t>
      </w:r>
    </w:p>
    <w:p>
      <w:pPr>
        <w:spacing w:after="0" w:line="240" w:lineRule="auto"/>
        <w:jc w:val="left"/>
        <w:rPr>
          <w:sz w:val="22"/>
        </w:rPr>
        <w:sectPr>
          <w:pgSz w:w="11910" w:h="16840"/>
          <w:pgMar w:top="1100" w:bottom="280" w:left="1280" w:right="1280"/>
        </w:sectPr>
      </w:pPr>
    </w:p>
    <w:p>
      <w:pPr>
        <w:pStyle w:val="Heading1"/>
        <w:ind w:left="135"/>
      </w:pPr>
      <w:r>
        <w:rPr/>
        <w:t>Processing under EO 12.333</w:t>
      </w:r>
    </w:p>
    <w:p>
      <w:pPr>
        <w:pStyle w:val="ListParagraph"/>
        <w:numPr>
          <w:ilvl w:val="0"/>
          <w:numId w:val="1"/>
        </w:numPr>
        <w:tabs>
          <w:tab w:pos="497" w:val="left" w:leader="none"/>
        </w:tabs>
        <w:spacing w:line="259" w:lineRule="auto" w:before="185" w:after="0"/>
        <w:ind w:left="496" w:right="134" w:hanging="361"/>
        <w:jc w:val="both"/>
        <w:rPr>
          <w:sz w:val="22"/>
        </w:rPr>
      </w:pPr>
      <w:r>
        <w:rPr>
          <w:sz w:val="22"/>
        </w:rPr>
        <w:t>Do</w:t>
      </w:r>
      <w:r>
        <w:rPr>
          <w:spacing w:val="-6"/>
          <w:sz w:val="22"/>
        </w:rPr>
        <w:t> </w:t>
      </w:r>
      <w:r>
        <w:rPr>
          <w:sz w:val="22"/>
        </w:rPr>
        <w:t>you,</w:t>
      </w:r>
      <w:r>
        <w:rPr>
          <w:spacing w:val="-7"/>
          <w:sz w:val="22"/>
        </w:rPr>
        <w:t> </w:t>
      </w:r>
      <w:r>
        <w:rPr>
          <w:sz w:val="22"/>
        </w:rPr>
        <w:t>or</w:t>
      </w:r>
      <w:r>
        <w:rPr>
          <w:spacing w:val="-6"/>
          <w:sz w:val="22"/>
        </w:rPr>
        <w:t> </w:t>
      </w:r>
      <w:r>
        <w:rPr>
          <w:sz w:val="22"/>
        </w:rPr>
        <w:t>any</w:t>
      </w:r>
      <w:r>
        <w:rPr>
          <w:spacing w:val="-5"/>
          <w:sz w:val="22"/>
        </w:rPr>
        <w:t> </w:t>
      </w:r>
      <w:r>
        <w:rPr>
          <w:sz w:val="22"/>
        </w:rPr>
        <w:t>other</w:t>
      </w:r>
      <w:r>
        <w:rPr>
          <w:spacing w:val="-4"/>
          <w:sz w:val="22"/>
        </w:rPr>
        <w:t> </w:t>
      </w:r>
      <w:r>
        <w:rPr>
          <w:sz w:val="22"/>
        </w:rPr>
        <w:t>relevant</w:t>
      </w:r>
      <w:r>
        <w:rPr>
          <w:spacing w:val="-3"/>
          <w:sz w:val="22"/>
        </w:rPr>
        <w:t> </w:t>
      </w:r>
      <w:r>
        <w:rPr>
          <w:sz w:val="22"/>
        </w:rPr>
        <w:t>US</w:t>
      </w:r>
      <w:r>
        <w:rPr>
          <w:spacing w:val="-7"/>
          <w:sz w:val="22"/>
        </w:rPr>
        <w:t> </w:t>
      </w:r>
      <w:r>
        <w:rPr>
          <w:sz w:val="22"/>
        </w:rPr>
        <w:t>entity</w:t>
      </w:r>
      <w:r>
        <w:rPr>
          <w:spacing w:val="-6"/>
          <w:sz w:val="22"/>
        </w:rPr>
        <w:t> </w:t>
      </w:r>
      <w:r>
        <w:rPr>
          <w:sz w:val="22"/>
        </w:rPr>
        <w:t>(controller</w:t>
      </w:r>
      <w:r>
        <w:rPr>
          <w:spacing w:val="-6"/>
          <w:sz w:val="22"/>
        </w:rPr>
        <w:t> </w:t>
      </w:r>
      <w:r>
        <w:rPr>
          <w:sz w:val="22"/>
        </w:rPr>
        <w:t>or</w:t>
      </w:r>
      <w:r>
        <w:rPr>
          <w:spacing w:val="-7"/>
          <w:sz w:val="22"/>
        </w:rPr>
        <w:t> </w:t>
      </w:r>
      <w:r>
        <w:rPr>
          <w:sz w:val="22"/>
        </w:rPr>
        <w:t>processor)</w:t>
      </w:r>
      <w:r>
        <w:rPr>
          <w:spacing w:val="-6"/>
          <w:sz w:val="22"/>
        </w:rPr>
        <w:t> </w:t>
      </w:r>
      <w:r>
        <w:rPr>
          <w:sz w:val="22"/>
        </w:rPr>
        <w:t>that</w:t>
      </w:r>
      <w:r>
        <w:rPr>
          <w:spacing w:val="-4"/>
          <w:sz w:val="22"/>
        </w:rPr>
        <w:t> </w:t>
      </w:r>
      <w:r>
        <w:rPr>
          <w:sz w:val="22"/>
        </w:rPr>
        <w:t>processes</w:t>
      </w:r>
      <w:r>
        <w:rPr>
          <w:spacing w:val="-7"/>
          <w:sz w:val="22"/>
        </w:rPr>
        <w:t> </w:t>
      </w:r>
      <w:r>
        <w:rPr>
          <w:sz w:val="22"/>
        </w:rPr>
        <w:t>personal</w:t>
      </w:r>
      <w:r>
        <w:rPr>
          <w:spacing w:val="-4"/>
          <w:sz w:val="22"/>
        </w:rPr>
        <w:t> </w:t>
      </w:r>
      <w:r>
        <w:rPr>
          <w:sz w:val="22"/>
        </w:rPr>
        <w:t>data</w:t>
      </w:r>
      <w:r>
        <w:rPr>
          <w:spacing w:val="-7"/>
          <w:sz w:val="22"/>
        </w:rPr>
        <w:t> </w:t>
      </w:r>
      <w:r>
        <w:rPr>
          <w:sz w:val="22"/>
        </w:rPr>
        <w:t>that is</w:t>
      </w:r>
      <w:r>
        <w:rPr>
          <w:spacing w:val="-8"/>
          <w:sz w:val="22"/>
        </w:rPr>
        <w:t> </w:t>
      </w:r>
      <w:r>
        <w:rPr>
          <w:sz w:val="22"/>
        </w:rPr>
        <w:t>transferred</w:t>
      </w:r>
      <w:r>
        <w:rPr>
          <w:spacing w:val="-8"/>
          <w:sz w:val="22"/>
        </w:rPr>
        <w:t> </w:t>
      </w:r>
      <w:r>
        <w:rPr>
          <w:sz w:val="22"/>
        </w:rPr>
        <w:t>from</w:t>
      </w:r>
      <w:r>
        <w:rPr>
          <w:spacing w:val="-8"/>
          <w:sz w:val="22"/>
        </w:rPr>
        <w:t> </w:t>
      </w:r>
      <w:r>
        <w:rPr>
          <w:sz w:val="22"/>
        </w:rPr>
        <w:t>us</w:t>
      </w:r>
      <w:r>
        <w:rPr>
          <w:spacing w:val="-8"/>
          <w:sz w:val="22"/>
        </w:rPr>
        <w:t> </w:t>
      </w:r>
      <w:r>
        <w:rPr>
          <w:sz w:val="22"/>
        </w:rPr>
        <w:t>to</w:t>
      </w:r>
      <w:r>
        <w:rPr>
          <w:spacing w:val="-8"/>
          <w:sz w:val="22"/>
        </w:rPr>
        <w:t> </w:t>
      </w:r>
      <w:r>
        <w:rPr>
          <w:sz w:val="22"/>
        </w:rPr>
        <w:t>you,</w:t>
      </w:r>
      <w:r>
        <w:rPr>
          <w:spacing w:val="-7"/>
          <w:sz w:val="22"/>
        </w:rPr>
        <w:t> </w:t>
      </w:r>
      <w:r>
        <w:rPr>
          <w:sz w:val="22"/>
        </w:rPr>
        <w:t>cooperate</w:t>
      </w:r>
      <w:r>
        <w:rPr>
          <w:spacing w:val="-9"/>
          <w:sz w:val="22"/>
        </w:rPr>
        <w:t> </w:t>
      </w:r>
      <w:r>
        <w:rPr>
          <w:sz w:val="22"/>
        </w:rPr>
        <w:t>in</w:t>
      </w:r>
      <w:r>
        <w:rPr>
          <w:spacing w:val="-7"/>
          <w:sz w:val="22"/>
        </w:rPr>
        <w:t> </w:t>
      </w:r>
      <w:r>
        <w:rPr>
          <w:sz w:val="22"/>
        </w:rPr>
        <w:t>any</w:t>
      </w:r>
      <w:r>
        <w:rPr>
          <w:spacing w:val="-7"/>
          <w:sz w:val="22"/>
        </w:rPr>
        <w:t> </w:t>
      </w:r>
      <w:r>
        <w:rPr>
          <w:sz w:val="22"/>
        </w:rPr>
        <w:t>respect</w:t>
      </w:r>
      <w:r>
        <w:rPr>
          <w:spacing w:val="-9"/>
          <w:sz w:val="22"/>
        </w:rPr>
        <w:t> </w:t>
      </w:r>
      <w:r>
        <w:rPr>
          <w:sz w:val="22"/>
        </w:rPr>
        <w:t>with</w:t>
      </w:r>
      <w:r>
        <w:rPr>
          <w:spacing w:val="-11"/>
          <w:sz w:val="22"/>
        </w:rPr>
        <w:t> </w:t>
      </w:r>
      <w:r>
        <w:rPr>
          <w:sz w:val="22"/>
        </w:rPr>
        <w:t>US</w:t>
      </w:r>
      <w:r>
        <w:rPr>
          <w:spacing w:val="-9"/>
          <w:sz w:val="22"/>
        </w:rPr>
        <w:t> </w:t>
      </w:r>
      <w:r>
        <w:rPr>
          <w:sz w:val="22"/>
        </w:rPr>
        <w:t>authorities</w:t>
      </w:r>
      <w:r>
        <w:rPr>
          <w:spacing w:val="-10"/>
          <w:sz w:val="22"/>
        </w:rPr>
        <w:t> </w:t>
      </w:r>
      <w:r>
        <w:rPr>
          <w:sz w:val="22"/>
        </w:rPr>
        <w:t>conducting</w:t>
      </w:r>
      <w:r>
        <w:rPr>
          <w:spacing w:val="-7"/>
          <w:sz w:val="22"/>
        </w:rPr>
        <w:t> </w:t>
      </w:r>
      <w:r>
        <w:rPr>
          <w:sz w:val="22"/>
        </w:rPr>
        <w:t>surveillance of communications under EO 12.333, should this be mandatory or</w:t>
      </w:r>
      <w:r>
        <w:rPr>
          <w:spacing w:val="-16"/>
          <w:sz w:val="22"/>
        </w:rPr>
        <w:t> </w:t>
      </w:r>
      <w:r>
        <w:rPr>
          <w:sz w:val="22"/>
        </w:rPr>
        <w:t>voluntary?</w:t>
      </w:r>
    </w:p>
    <w:p>
      <w:pPr>
        <w:pStyle w:val="BodyText"/>
        <w:spacing w:before="10"/>
        <w:rPr>
          <w:sz w:val="23"/>
        </w:rPr>
      </w:pPr>
    </w:p>
    <w:p>
      <w:pPr>
        <w:pStyle w:val="ListParagraph"/>
        <w:numPr>
          <w:ilvl w:val="1"/>
          <w:numId w:val="1"/>
        </w:numPr>
        <w:tabs>
          <w:tab w:pos="1116" w:val="left" w:leader="none"/>
          <w:tab w:pos="1765" w:val="left" w:leader="none"/>
          <w:tab w:pos="3016" w:val="left" w:leader="none"/>
        </w:tabs>
        <w:spacing w:line="240" w:lineRule="auto" w:before="0" w:after="0"/>
        <w:ind w:left="1115" w:right="0" w:hanging="272"/>
        <w:jc w:val="left"/>
        <w:rPr>
          <w:sz w:val="22"/>
        </w:rPr>
      </w:pPr>
      <w:r>
        <w:rPr>
          <w:sz w:val="22"/>
        </w:rPr>
        <w:t>Yes</w:t>
        <w:tab/>
      </w:r>
      <w:r>
        <w:rPr>
          <w:rFonts w:ascii="MS Gothic" w:hAnsi="MS Gothic"/>
          <w:sz w:val="22"/>
        </w:rPr>
        <w:t>☐</w:t>
      </w:r>
      <w:r>
        <w:rPr>
          <w:rFonts w:ascii="MS Gothic" w:hAnsi="MS Gothic"/>
          <w:spacing w:val="-60"/>
          <w:sz w:val="22"/>
        </w:rPr>
        <w:t> </w:t>
      </w:r>
      <w:r>
        <w:rPr>
          <w:sz w:val="22"/>
        </w:rPr>
        <w:t>No</w:t>
        <w:tab/>
      </w:r>
      <w:r>
        <w:rPr>
          <w:rFonts w:ascii="MS Gothic" w:hAnsi="MS Gothic"/>
          <w:sz w:val="22"/>
        </w:rPr>
        <w:t>☐</w:t>
      </w:r>
      <w:r>
        <w:rPr>
          <w:rFonts w:ascii="MS Gothic" w:hAnsi="MS Gothic"/>
          <w:spacing w:val="-72"/>
          <w:sz w:val="22"/>
        </w:rPr>
        <w:t> </w:t>
      </w:r>
      <w:r>
        <w:rPr>
          <w:sz w:val="22"/>
        </w:rPr>
        <w:t>We are under a legal obligation not to answer this question</w:t>
      </w:r>
    </w:p>
    <w:p>
      <w:pPr>
        <w:pStyle w:val="BodyText"/>
        <w:rPr>
          <w:sz w:val="24"/>
        </w:rPr>
      </w:pPr>
    </w:p>
    <w:p>
      <w:pPr>
        <w:pStyle w:val="Heading1"/>
        <w:spacing w:before="179"/>
      </w:pPr>
      <w:r>
        <w:rPr/>
        <w:t>Other relevant Laws</w:t>
      </w:r>
    </w:p>
    <w:p>
      <w:pPr>
        <w:pStyle w:val="ListParagraph"/>
        <w:numPr>
          <w:ilvl w:val="0"/>
          <w:numId w:val="1"/>
        </w:numPr>
        <w:tabs>
          <w:tab w:pos="497" w:val="left" w:leader="none"/>
        </w:tabs>
        <w:spacing w:line="259" w:lineRule="auto" w:before="183" w:after="0"/>
        <w:ind w:left="496" w:right="133" w:hanging="361"/>
        <w:jc w:val="both"/>
        <w:rPr>
          <w:sz w:val="22"/>
        </w:rPr>
      </w:pPr>
      <w:r>
        <w:rPr>
          <w:sz w:val="22"/>
        </w:rPr>
        <w:t>Are</w:t>
      </w:r>
      <w:r>
        <w:rPr>
          <w:spacing w:val="-6"/>
          <w:sz w:val="22"/>
        </w:rPr>
        <w:t> </w:t>
      </w:r>
      <w:r>
        <w:rPr>
          <w:sz w:val="22"/>
        </w:rPr>
        <w:t>you</w:t>
      </w:r>
      <w:r>
        <w:rPr>
          <w:spacing w:val="-9"/>
          <w:sz w:val="22"/>
        </w:rPr>
        <w:t> </w:t>
      </w:r>
      <w:r>
        <w:rPr>
          <w:sz w:val="22"/>
        </w:rPr>
        <w:t>or</w:t>
      </w:r>
      <w:r>
        <w:rPr>
          <w:spacing w:val="-6"/>
          <w:sz w:val="22"/>
        </w:rPr>
        <w:t> </w:t>
      </w:r>
      <w:r>
        <w:rPr>
          <w:sz w:val="22"/>
        </w:rPr>
        <w:t>any</w:t>
      </w:r>
      <w:r>
        <w:rPr>
          <w:spacing w:val="-7"/>
          <w:sz w:val="22"/>
        </w:rPr>
        <w:t> </w:t>
      </w:r>
      <w:r>
        <w:rPr>
          <w:sz w:val="22"/>
        </w:rPr>
        <w:t>other</w:t>
      </w:r>
      <w:r>
        <w:rPr>
          <w:spacing w:val="-6"/>
          <w:sz w:val="22"/>
        </w:rPr>
        <w:t> </w:t>
      </w:r>
      <w:r>
        <w:rPr>
          <w:sz w:val="22"/>
        </w:rPr>
        <w:t>relevant</w:t>
      </w:r>
      <w:r>
        <w:rPr>
          <w:spacing w:val="-5"/>
          <w:sz w:val="22"/>
        </w:rPr>
        <w:t> </w:t>
      </w:r>
      <w:r>
        <w:rPr>
          <w:sz w:val="22"/>
        </w:rPr>
        <w:t>US</w:t>
      </w:r>
      <w:r>
        <w:rPr>
          <w:spacing w:val="-7"/>
          <w:sz w:val="22"/>
        </w:rPr>
        <w:t> </w:t>
      </w:r>
      <w:r>
        <w:rPr>
          <w:sz w:val="22"/>
        </w:rPr>
        <w:t>entity</w:t>
      </w:r>
      <w:r>
        <w:rPr>
          <w:spacing w:val="-5"/>
          <w:sz w:val="22"/>
        </w:rPr>
        <w:t> </w:t>
      </w:r>
      <w:r>
        <w:rPr>
          <w:sz w:val="22"/>
        </w:rPr>
        <w:t>(controller</w:t>
      </w:r>
      <w:r>
        <w:rPr>
          <w:spacing w:val="-8"/>
          <w:sz w:val="22"/>
        </w:rPr>
        <w:t> </w:t>
      </w:r>
      <w:r>
        <w:rPr>
          <w:sz w:val="22"/>
        </w:rPr>
        <w:t>or</w:t>
      </w:r>
      <w:r>
        <w:rPr>
          <w:spacing w:val="-6"/>
          <w:sz w:val="22"/>
        </w:rPr>
        <w:t> </w:t>
      </w:r>
      <w:r>
        <w:rPr>
          <w:sz w:val="22"/>
        </w:rPr>
        <w:t>processor)</w:t>
      </w:r>
      <w:r>
        <w:rPr>
          <w:spacing w:val="-5"/>
          <w:sz w:val="22"/>
        </w:rPr>
        <w:t> </w:t>
      </w:r>
      <w:r>
        <w:rPr>
          <w:sz w:val="22"/>
        </w:rPr>
        <w:t>that</w:t>
      </w:r>
      <w:r>
        <w:rPr>
          <w:spacing w:val="-6"/>
          <w:sz w:val="22"/>
        </w:rPr>
        <w:t> </w:t>
      </w:r>
      <w:r>
        <w:rPr>
          <w:sz w:val="22"/>
        </w:rPr>
        <w:t>processes</w:t>
      </w:r>
      <w:r>
        <w:rPr>
          <w:spacing w:val="-6"/>
          <w:sz w:val="22"/>
        </w:rPr>
        <w:t> </w:t>
      </w:r>
      <w:r>
        <w:rPr>
          <w:sz w:val="22"/>
        </w:rPr>
        <w:t>personal</w:t>
      </w:r>
      <w:r>
        <w:rPr>
          <w:spacing w:val="-6"/>
          <w:sz w:val="22"/>
        </w:rPr>
        <w:t> </w:t>
      </w:r>
      <w:r>
        <w:rPr>
          <w:sz w:val="22"/>
        </w:rPr>
        <w:t>data</w:t>
      </w:r>
      <w:r>
        <w:rPr>
          <w:spacing w:val="-6"/>
          <w:sz w:val="22"/>
        </w:rPr>
        <w:t> </w:t>
      </w:r>
      <w:r>
        <w:rPr>
          <w:sz w:val="22"/>
        </w:rPr>
        <w:t>that is transferred from us to you subject to any other law that could be seen as undermining the protection of personal data under the GDPR (Article 44</w:t>
      </w:r>
      <w:r>
        <w:rPr>
          <w:spacing w:val="-9"/>
          <w:sz w:val="22"/>
        </w:rPr>
        <w:t> </w:t>
      </w:r>
      <w:r>
        <w:rPr>
          <w:sz w:val="22"/>
        </w:rPr>
        <w:t>GDPR)?</w:t>
      </w:r>
    </w:p>
    <w:p>
      <w:pPr>
        <w:pStyle w:val="BodyText"/>
        <w:spacing w:before="6"/>
        <w:rPr>
          <w:sz w:val="23"/>
        </w:rPr>
      </w:pPr>
    </w:p>
    <w:p>
      <w:pPr>
        <w:pStyle w:val="ListParagraph"/>
        <w:numPr>
          <w:ilvl w:val="1"/>
          <w:numId w:val="1"/>
        </w:numPr>
        <w:tabs>
          <w:tab w:pos="1116" w:val="left" w:leader="none"/>
          <w:tab w:pos="1767" w:val="left" w:leader="none"/>
          <w:tab w:pos="3016" w:val="left" w:leader="none"/>
        </w:tabs>
        <w:spacing w:line="494" w:lineRule="auto" w:before="0" w:after="0"/>
        <w:ind w:left="496" w:right="784" w:firstLine="348"/>
        <w:jc w:val="left"/>
        <w:rPr>
          <w:sz w:val="22"/>
        </w:rPr>
      </w:pPr>
      <w:r>
        <w:rPr>
          <w:sz w:val="22"/>
        </w:rPr>
        <w:t>Yes</w:t>
        <w:tab/>
      </w:r>
      <w:r>
        <w:rPr>
          <w:rFonts w:ascii="Segoe UI Symbol" w:hAnsi="Segoe UI Symbol"/>
          <w:sz w:val="22"/>
        </w:rPr>
        <w:t>☐</w:t>
      </w:r>
      <w:r>
        <w:rPr>
          <w:rFonts w:ascii="Segoe UI Symbol" w:hAnsi="Segoe UI Symbol"/>
          <w:spacing w:val="-13"/>
          <w:sz w:val="22"/>
        </w:rPr>
        <w:t> </w:t>
      </w:r>
      <w:r>
        <w:rPr>
          <w:sz w:val="22"/>
        </w:rPr>
        <w:t>No</w:t>
        <w:tab/>
      </w:r>
      <w:r>
        <w:rPr>
          <w:rFonts w:ascii="Segoe UI Symbol" w:hAnsi="Segoe UI Symbol"/>
          <w:sz w:val="22"/>
        </w:rPr>
        <w:t>☐ </w:t>
      </w:r>
      <w:r>
        <w:rPr>
          <w:sz w:val="22"/>
        </w:rPr>
        <w:t>We are under a legal obligation not to answer this</w:t>
      </w:r>
      <w:r>
        <w:rPr>
          <w:spacing w:val="-31"/>
          <w:sz w:val="22"/>
        </w:rPr>
        <w:t> </w:t>
      </w:r>
      <w:r>
        <w:rPr>
          <w:sz w:val="22"/>
        </w:rPr>
        <w:t>question If so, please specify these</w:t>
      </w:r>
      <w:r>
        <w:rPr>
          <w:spacing w:val="-1"/>
          <w:sz w:val="22"/>
        </w:rPr>
        <w:t> </w:t>
      </w:r>
      <w:r>
        <w:rPr>
          <w:sz w:val="22"/>
        </w:rPr>
        <w:t>laws: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1"/>
        <w:spacing w:before="152"/>
      </w:pPr>
      <w:r>
        <w:rPr/>
        <w:t>Measures against Mass and Indiscriminate Processing in Transit (FISA 702 and EO 12.333)</w:t>
      </w:r>
    </w:p>
    <w:p>
      <w:pPr>
        <w:pStyle w:val="ListParagraph"/>
        <w:numPr>
          <w:ilvl w:val="0"/>
          <w:numId w:val="1"/>
        </w:numPr>
        <w:tabs>
          <w:tab w:pos="497" w:val="left" w:leader="none"/>
        </w:tabs>
        <w:spacing w:line="256" w:lineRule="auto" w:before="185" w:after="0"/>
        <w:ind w:left="496" w:right="132" w:hanging="361"/>
        <w:jc w:val="both"/>
        <w:rPr>
          <w:sz w:val="22"/>
        </w:rPr>
      </w:pPr>
      <w:r>
        <w:rPr>
          <w:sz w:val="22"/>
        </w:rPr>
        <w:t>As</w:t>
      </w:r>
      <w:r>
        <w:rPr>
          <w:spacing w:val="-2"/>
          <w:sz w:val="22"/>
        </w:rPr>
        <w:t> </w:t>
      </w:r>
      <w:r>
        <w:rPr>
          <w:sz w:val="22"/>
        </w:rPr>
        <w:t>the</w:t>
      </w:r>
      <w:r>
        <w:rPr>
          <w:spacing w:val="-3"/>
          <w:sz w:val="22"/>
        </w:rPr>
        <w:t> </w:t>
      </w:r>
      <w:r>
        <w:rPr>
          <w:sz w:val="22"/>
        </w:rPr>
        <w:t>Court</w:t>
      </w:r>
      <w:r>
        <w:rPr>
          <w:spacing w:val="-3"/>
          <w:sz w:val="22"/>
        </w:rPr>
        <w:t> </w:t>
      </w:r>
      <w:r>
        <w:rPr>
          <w:sz w:val="22"/>
        </w:rPr>
        <w:t>of</w:t>
      </w:r>
      <w:r>
        <w:rPr>
          <w:spacing w:val="-3"/>
          <w:sz w:val="22"/>
        </w:rPr>
        <w:t> </w:t>
      </w:r>
      <w:r>
        <w:rPr>
          <w:sz w:val="22"/>
        </w:rPr>
        <w:t>Justice</w:t>
      </w:r>
      <w:r>
        <w:rPr>
          <w:spacing w:val="-1"/>
          <w:sz w:val="22"/>
        </w:rPr>
        <w:t> </w:t>
      </w:r>
      <w:r>
        <w:rPr>
          <w:sz w:val="22"/>
        </w:rPr>
        <w:t>has</w:t>
      </w:r>
      <w:r>
        <w:rPr>
          <w:spacing w:val="-6"/>
          <w:sz w:val="22"/>
        </w:rPr>
        <w:t> </w:t>
      </w:r>
      <w:r>
        <w:rPr>
          <w:sz w:val="22"/>
        </w:rPr>
        <w:t>also</w:t>
      </w:r>
      <w:r>
        <w:rPr>
          <w:spacing w:val="-2"/>
          <w:sz w:val="22"/>
        </w:rPr>
        <w:t> </w:t>
      </w:r>
      <w:r>
        <w:rPr>
          <w:sz w:val="22"/>
        </w:rPr>
        <w:t>highlighted</w:t>
      </w:r>
      <w:r>
        <w:rPr>
          <w:spacing w:val="-2"/>
          <w:sz w:val="22"/>
        </w:rPr>
        <w:t> </w:t>
      </w:r>
      <w:r>
        <w:rPr>
          <w:sz w:val="22"/>
        </w:rPr>
        <w:t>the</w:t>
      </w:r>
      <w:r>
        <w:rPr>
          <w:spacing w:val="-4"/>
          <w:sz w:val="22"/>
        </w:rPr>
        <w:t> </w:t>
      </w:r>
      <w:r>
        <w:rPr>
          <w:sz w:val="22"/>
        </w:rPr>
        <w:t>need</w:t>
      </w:r>
      <w:r>
        <w:rPr>
          <w:spacing w:val="-2"/>
          <w:sz w:val="22"/>
        </w:rPr>
        <w:t> </w:t>
      </w:r>
      <w:r>
        <w:rPr>
          <w:sz w:val="22"/>
        </w:rPr>
        <w:t>to</w:t>
      </w:r>
      <w:r>
        <w:rPr>
          <w:spacing w:val="-2"/>
          <w:sz w:val="22"/>
        </w:rPr>
        <w:t> </w:t>
      </w:r>
      <w:r>
        <w:rPr>
          <w:sz w:val="22"/>
        </w:rPr>
        <w:t>ensure</w:t>
      </w:r>
      <w:r>
        <w:rPr>
          <w:spacing w:val="-3"/>
          <w:sz w:val="22"/>
        </w:rPr>
        <w:t> </w:t>
      </w:r>
      <w:r>
        <w:rPr>
          <w:sz w:val="22"/>
        </w:rPr>
        <w:t>that</w:t>
      </w:r>
      <w:r>
        <w:rPr>
          <w:spacing w:val="-4"/>
          <w:sz w:val="22"/>
        </w:rPr>
        <w:t> </w:t>
      </w:r>
      <w:r>
        <w:rPr>
          <w:sz w:val="22"/>
        </w:rPr>
        <w:t>personal</w:t>
      </w:r>
      <w:r>
        <w:rPr>
          <w:spacing w:val="-1"/>
          <w:sz w:val="22"/>
        </w:rPr>
        <w:t> </w:t>
      </w:r>
      <w:r>
        <w:rPr>
          <w:sz w:val="22"/>
        </w:rPr>
        <w:t>data</w:t>
      </w:r>
      <w:r>
        <w:rPr>
          <w:spacing w:val="-1"/>
          <w:sz w:val="22"/>
        </w:rPr>
        <w:t> </w:t>
      </w:r>
      <w:r>
        <w:rPr>
          <w:sz w:val="22"/>
        </w:rPr>
        <w:t>is</w:t>
      </w:r>
      <w:r>
        <w:rPr>
          <w:spacing w:val="-3"/>
          <w:sz w:val="22"/>
        </w:rPr>
        <w:t> </w:t>
      </w:r>
      <w:r>
        <w:rPr>
          <w:sz w:val="22"/>
        </w:rPr>
        <w:t>not</w:t>
      </w:r>
      <w:r>
        <w:rPr>
          <w:spacing w:val="-4"/>
          <w:sz w:val="22"/>
        </w:rPr>
        <w:t> </w:t>
      </w:r>
      <w:r>
        <w:rPr>
          <w:sz w:val="22"/>
        </w:rPr>
        <w:t>subject</w:t>
      </w:r>
      <w:r>
        <w:rPr>
          <w:spacing w:val="-3"/>
          <w:sz w:val="22"/>
        </w:rPr>
        <w:t> </w:t>
      </w:r>
      <w:r>
        <w:rPr>
          <w:sz w:val="22"/>
        </w:rPr>
        <w:t>to mass surveillance in transit, we seek the following</w:t>
      </w:r>
      <w:r>
        <w:rPr>
          <w:spacing w:val="-7"/>
          <w:sz w:val="22"/>
        </w:rPr>
        <w:t> </w:t>
      </w:r>
      <w:r>
        <w:rPr>
          <w:sz w:val="22"/>
        </w:rPr>
        <w:t>clarifications:</w:t>
      </w:r>
    </w:p>
    <w:p>
      <w:pPr>
        <w:pStyle w:val="BodyText"/>
        <w:spacing w:before="1"/>
        <w:rPr>
          <w:sz w:val="24"/>
        </w:rPr>
      </w:pPr>
    </w:p>
    <w:p>
      <w:pPr>
        <w:pStyle w:val="ListParagraph"/>
        <w:numPr>
          <w:ilvl w:val="0"/>
          <w:numId w:val="3"/>
        </w:numPr>
        <w:tabs>
          <w:tab w:pos="857" w:val="left" w:leader="none"/>
        </w:tabs>
        <w:spacing w:line="240" w:lineRule="auto" w:before="0" w:after="0"/>
        <w:ind w:left="856" w:right="134" w:hanging="360"/>
        <w:jc w:val="both"/>
        <w:rPr>
          <w:sz w:val="22"/>
        </w:rPr>
      </w:pPr>
      <w:r>
        <w:rPr>
          <w:sz w:val="22"/>
        </w:rPr>
        <w:t>Have you implemented appropriate technical and organisational measures (see Article 32 GDPR) for every step of the processing operations which ensure that mass and indiscriminate processing of personal data by or on behalf of authorities in transit (such as under the “Upstream” program in the US) is made</w:t>
      </w:r>
      <w:r>
        <w:rPr>
          <w:spacing w:val="-6"/>
          <w:sz w:val="22"/>
        </w:rPr>
        <w:t> </w:t>
      </w:r>
      <w:r>
        <w:rPr>
          <w:sz w:val="22"/>
        </w:rPr>
        <w:t>impossible?</w:t>
      </w:r>
    </w:p>
    <w:p>
      <w:pPr>
        <w:pStyle w:val="BodyText"/>
        <w:spacing w:before="10"/>
        <w:rPr>
          <w:sz w:val="21"/>
        </w:rPr>
      </w:pPr>
    </w:p>
    <w:p>
      <w:pPr>
        <w:pStyle w:val="ListParagraph"/>
        <w:numPr>
          <w:ilvl w:val="1"/>
          <w:numId w:val="3"/>
        </w:numPr>
        <w:tabs>
          <w:tab w:pos="1116" w:val="left" w:leader="none"/>
          <w:tab w:pos="1767" w:val="left" w:leader="none"/>
          <w:tab w:pos="3015" w:val="left" w:leader="none"/>
        </w:tabs>
        <w:spacing w:line="240" w:lineRule="auto" w:before="0" w:after="0"/>
        <w:ind w:left="1115" w:right="0" w:hanging="272"/>
        <w:jc w:val="left"/>
        <w:rPr>
          <w:sz w:val="22"/>
        </w:rPr>
      </w:pPr>
      <w:r>
        <w:rPr>
          <w:sz w:val="22"/>
        </w:rPr>
        <w:t>Yes</w:t>
        <w:tab/>
      </w:r>
      <w:r>
        <w:rPr>
          <w:rFonts w:ascii="Segoe UI Symbol" w:hAnsi="Segoe UI Symbol"/>
          <w:sz w:val="22"/>
        </w:rPr>
        <w:t>☐</w:t>
      </w:r>
      <w:r>
        <w:rPr>
          <w:rFonts w:ascii="Segoe UI Symbol" w:hAnsi="Segoe UI Symbol"/>
          <w:spacing w:val="-13"/>
          <w:sz w:val="22"/>
        </w:rPr>
        <w:t> </w:t>
      </w:r>
      <w:r>
        <w:rPr>
          <w:sz w:val="22"/>
        </w:rPr>
        <w:t>No</w:t>
        <w:tab/>
      </w:r>
      <w:r>
        <w:rPr>
          <w:rFonts w:ascii="Segoe UI Symbol" w:hAnsi="Segoe UI Symbol"/>
          <w:sz w:val="22"/>
        </w:rPr>
        <w:t>☐ </w:t>
      </w:r>
      <w:r>
        <w:rPr>
          <w:sz w:val="22"/>
        </w:rPr>
        <w:t>We are under a legal obligation not to answer this</w:t>
      </w:r>
      <w:r>
        <w:rPr>
          <w:spacing w:val="-22"/>
          <w:sz w:val="22"/>
        </w:rPr>
        <w:t> </w:t>
      </w:r>
      <w:r>
        <w:rPr>
          <w:sz w:val="22"/>
        </w:rPr>
        <w:t>question</w:t>
      </w:r>
    </w:p>
    <w:p>
      <w:pPr>
        <w:pStyle w:val="BodyText"/>
        <w:spacing w:before="3"/>
        <w:rPr>
          <w:sz w:val="30"/>
        </w:rPr>
      </w:pPr>
    </w:p>
    <w:p>
      <w:pPr>
        <w:pStyle w:val="ListParagraph"/>
        <w:numPr>
          <w:ilvl w:val="0"/>
          <w:numId w:val="3"/>
        </w:numPr>
        <w:tabs>
          <w:tab w:pos="856" w:val="left" w:leader="none"/>
        </w:tabs>
        <w:spacing w:line="240" w:lineRule="auto" w:before="0" w:after="0"/>
        <w:ind w:left="855" w:right="132" w:hanging="360"/>
        <w:jc w:val="both"/>
        <w:rPr>
          <w:sz w:val="22"/>
        </w:rPr>
      </w:pPr>
      <w:r>
        <w:rPr>
          <w:sz w:val="22"/>
        </w:rPr>
        <w:t>If so, please specify which technical and organisational measures (including encryption) have been taken so that neither content nor meta data can be processed by sophisticated state actors with direct access to the internet backbone, switches, hubs, cables and</w:t>
      </w:r>
      <w:r>
        <w:rPr>
          <w:spacing w:val="-13"/>
          <w:sz w:val="22"/>
        </w:rPr>
        <w:t> </w:t>
      </w:r>
      <w:r>
        <w:rPr>
          <w:sz w:val="22"/>
        </w:rPr>
        <w:t>alike:</w:t>
      </w:r>
    </w:p>
    <w:p>
      <w:pPr>
        <w:spacing w:after="0" w:line="240" w:lineRule="auto"/>
        <w:jc w:val="both"/>
        <w:rPr>
          <w:sz w:val="22"/>
        </w:rPr>
        <w:sectPr>
          <w:pgSz w:w="11910" w:h="16840"/>
          <w:pgMar w:top="1080" w:bottom="280" w:left="1280" w:right="1280"/>
        </w:sectPr>
      </w:pPr>
    </w:p>
    <w:p>
      <w:pPr>
        <w:pStyle w:val="Heading1"/>
        <w:ind w:left="135"/>
      </w:pPr>
      <w:r>
        <w:rPr/>
        <w:t>Termination of Contract and Liability</w:t>
      </w:r>
    </w:p>
    <w:p>
      <w:pPr>
        <w:pStyle w:val="BodyText"/>
        <w:spacing w:line="256" w:lineRule="auto" w:before="185"/>
        <w:ind w:left="136" w:right="131"/>
        <w:jc w:val="both"/>
      </w:pPr>
      <w:r>
        <w:rPr/>
        <w:t>We</w:t>
      </w:r>
      <w:r>
        <w:rPr>
          <w:spacing w:val="-13"/>
        </w:rPr>
        <w:t> </w:t>
      </w:r>
      <w:r>
        <w:rPr/>
        <w:t>refer</w:t>
      </w:r>
      <w:r>
        <w:rPr>
          <w:spacing w:val="-14"/>
        </w:rPr>
        <w:t> </w:t>
      </w:r>
      <w:r>
        <w:rPr/>
        <w:t>to</w:t>
      </w:r>
      <w:r>
        <w:rPr>
          <w:spacing w:val="-14"/>
        </w:rPr>
        <w:t> </w:t>
      </w:r>
      <w:r>
        <w:rPr/>
        <w:t>Clause</w:t>
      </w:r>
      <w:r>
        <w:rPr>
          <w:spacing w:val="-12"/>
        </w:rPr>
        <w:t> </w:t>
      </w:r>
      <w:r>
        <w:rPr/>
        <w:t>II</w:t>
      </w:r>
      <w:r>
        <w:rPr>
          <w:spacing w:val="-16"/>
        </w:rPr>
        <w:t> </w:t>
      </w:r>
      <w:r>
        <w:rPr/>
        <w:t>of</w:t>
      </w:r>
      <w:r>
        <w:rPr>
          <w:spacing w:val="-15"/>
        </w:rPr>
        <w:t> </w:t>
      </w:r>
      <w:r>
        <w:rPr/>
        <w:t>the</w:t>
      </w:r>
      <w:r>
        <w:rPr>
          <w:spacing w:val="-15"/>
        </w:rPr>
        <w:t> </w:t>
      </w:r>
      <w:r>
        <w:rPr/>
        <w:t>Annex</w:t>
      </w:r>
      <w:r>
        <w:rPr>
          <w:spacing w:val="-12"/>
        </w:rPr>
        <w:t> </w:t>
      </w:r>
      <w:r>
        <w:rPr/>
        <w:t>of</w:t>
      </w:r>
      <w:r>
        <w:rPr>
          <w:spacing w:val="-15"/>
        </w:rPr>
        <w:t> </w:t>
      </w:r>
      <w:r>
        <w:rPr/>
        <w:t>Decision</w:t>
      </w:r>
      <w:r>
        <w:rPr>
          <w:spacing w:val="-14"/>
        </w:rPr>
        <w:t> </w:t>
      </w:r>
      <w:r>
        <w:rPr/>
        <w:t>2004/915/EC,</w:t>
      </w:r>
      <w:r>
        <w:rPr>
          <w:spacing w:val="-13"/>
        </w:rPr>
        <w:t> </w:t>
      </w:r>
      <w:r>
        <w:rPr/>
        <w:t>and/or</w:t>
      </w:r>
      <w:r>
        <w:rPr>
          <w:spacing w:val="-13"/>
        </w:rPr>
        <w:t> </w:t>
      </w:r>
      <w:r>
        <w:rPr/>
        <w:t>Clause</w:t>
      </w:r>
      <w:r>
        <w:rPr>
          <w:spacing w:val="-15"/>
        </w:rPr>
        <w:t> </w:t>
      </w:r>
      <w:r>
        <w:rPr/>
        <w:t>5(b)</w:t>
      </w:r>
      <w:r>
        <w:rPr>
          <w:spacing w:val="-15"/>
        </w:rPr>
        <w:t> </w:t>
      </w:r>
      <w:r>
        <w:rPr/>
        <w:t>of</w:t>
      </w:r>
      <w:r>
        <w:rPr>
          <w:spacing w:val="-15"/>
        </w:rPr>
        <w:t> </w:t>
      </w:r>
      <w:r>
        <w:rPr/>
        <w:t>the</w:t>
      </w:r>
      <w:r>
        <w:rPr>
          <w:spacing w:val="-12"/>
        </w:rPr>
        <w:t> </w:t>
      </w:r>
      <w:r>
        <w:rPr/>
        <w:t>Annex</w:t>
      </w:r>
      <w:r>
        <w:rPr>
          <w:spacing w:val="-15"/>
        </w:rPr>
        <w:t> </w:t>
      </w:r>
      <w:r>
        <w:rPr/>
        <w:t>to</w:t>
      </w:r>
      <w:r>
        <w:rPr>
          <w:spacing w:val="-14"/>
        </w:rPr>
        <w:t> </w:t>
      </w:r>
      <w:r>
        <w:rPr/>
        <w:t>Decision 2010/87, under which you had the duty to inform us of any such law or practice in the United States, if they are applicable to</w:t>
      </w:r>
      <w:r>
        <w:rPr>
          <w:spacing w:val="-1"/>
        </w:rPr>
        <w:t> </w:t>
      </w:r>
      <w:r>
        <w:rPr/>
        <w:t>you.</w:t>
      </w:r>
    </w:p>
    <w:p>
      <w:pPr>
        <w:pStyle w:val="BodyText"/>
        <w:spacing w:line="256" w:lineRule="auto" w:before="167"/>
        <w:ind w:left="136" w:right="131"/>
        <w:jc w:val="both"/>
      </w:pPr>
      <w:r>
        <w:rPr/>
        <w:t>In the case that you are unable to demonstrate full compliance with the SCCs, we reserve the right to terminate</w:t>
      </w:r>
      <w:r>
        <w:rPr>
          <w:spacing w:val="-4"/>
        </w:rPr>
        <w:t> </w:t>
      </w:r>
      <w:r>
        <w:rPr/>
        <w:t>the</w:t>
      </w:r>
      <w:r>
        <w:rPr>
          <w:spacing w:val="-4"/>
        </w:rPr>
        <w:t> </w:t>
      </w:r>
      <w:r>
        <w:rPr/>
        <w:t>contract</w:t>
      </w:r>
      <w:r>
        <w:rPr>
          <w:spacing w:val="-4"/>
        </w:rPr>
        <w:t> </w:t>
      </w:r>
      <w:r>
        <w:rPr/>
        <w:t>with</w:t>
      </w:r>
      <w:r>
        <w:rPr>
          <w:spacing w:val="-4"/>
        </w:rPr>
        <w:t> </w:t>
      </w:r>
      <w:r>
        <w:rPr/>
        <w:t>you</w:t>
      </w:r>
      <w:r>
        <w:rPr>
          <w:spacing w:val="-5"/>
        </w:rPr>
        <w:t> </w:t>
      </w:r>
      <w:r>
        <w:rPr/>
        <w:t>and/or</w:t>
      </w:r>
      <w:r>
        <w:rPr>
          <w:spacing w:val="-4"/>
        </w:rPr>
        <w:t> </w:t>
      </w:r>
      <w:r>
        <w:rPr/>
        <w:t>seek</w:t>
      </w:r>
      <w:r>
        <w:rPr>
          <w:spacing w:val="-3"/>
        </w:rPr>
        <w:t> </w:t>
      </w:r>
      <w:r>
        <w:rPr/>
        <w:t>compensation</w:t>
      </w:r>
      <w:r>
        <w:rPr>
          <w:spacing w:val="-5"/>
        </w:rPr>
        <w:t> </w:t>
      </w:r>
      <w:r>
        <w:rPr/>
        <w:t>for</w:t>
      </w:r>
      <w:r>
        <w:rPr>
          <w:spacing w:val="-4"/>
        </w:rPr>
        <w:t> </w:t>
      </w:r>
      <w:r>
        <w:rPr/>
        <w:t>any</w:t>
      </w:r>
      <w:r>
        <w:rPr>
          <w:spacing w:val="-2"/>
        </w:rPr>
        <w:t> </w:t>
      </w:r>
      <w:r>
        <w:rPr/>
        <w:t>damages</w:t>
      </w:r>
      <w:r>
        <w:rPr>
          <w:spacing w:val="-4"/>
        </w:rPr>
        <w:t> </w:t>
      </w:r>
      <w:r>
        <w:rPr/>
        <w:t>under</w:t>
      </w:r>
      <w:r>
        <w:rPr>
          <w:spacing w:val="-3"/>
        </w:rPr>
        <w:t> </w:t>
      </w:r>
      <w:r>
        <w:rPr/>
        <w:t>the</w:t>
      </w:r>
      <w:r>
        <w:rPr>
          <w:spacing w:val="-4"/>
        </w:rPr>
        <w:t> </w:t>
      </w:r>
      <w:r>
        <w:rPr/>
        <w:t>applicable</w:t>
      </w:r>
      <w:r>
        <w:rPr>
          <w:spacing w:val="-3"/>
        </w:rPr>
        <w:t> </w:t>
      </w:r>
      <w:r>
        <w:rPr/>
        <w:t>law (including</w:t>
      </w:r>
      <w:r>
        <w:rPr>
          <w:spacing w:val="-5"/>
        </w:rPr>
        <w:t> </w:t>
      </w:r>
      <w:r>
        <w:rPr/>
        <w:t>Clause</w:t>
      </w:r>
      <w:r>
        <w:rPr>
          <w:spacing w:val="-3"/>
        </w:rPr>
        <w:t> </w:t>
      </w:r>
      <w:r>
        <w:rPr/>
        <w:t>III(a)</w:t>
      </w:r>
      <w:r>
        <w:rPr>
          <w:spacing w:val="-3"/>
        </w:rPr>
        <w:t> </w:t>
      </w:r>
      <w:r>
        <w:rPr/>
        <w:t>of</w:t>
      </w:r>
      <w:r>
        <w:rPr>
          <w:spacing w:val="-5"/>
        </w:rPr>
        <w:t> </w:t>
      </w:r>
      <w:r>
        <w:rPr/>
        <w:t>the</w:t>
      </w:r>
      <w:r>
        <w:rPr>
          <w:spacing w:val="-3"/>
        </w:rPr>
        <w:t> </w:t>
      </w:r>
      <w:r>
        <w:rPr/>
        <w:t>Annex</w:t>
      </w:r>
      <w:r>
        <w:rPr>
          <w:spacing w:val="-3"/>
        </w:rPr>
        <w:t> </w:t>
      </w:r>
      <w:r>
        <w:rPr/>
        <w:t>of</w:t>
      </w:r>
      <w:r>
        <w:rPr>
          <w:spacing w:val="-5"/>
        </w:rPr>
        <w:t> </w:t>
      </w:r>
      <w:r>
        <w:rPr/>
        <w:t>Decision</w:t>
      </w:r>
      <w:r>
        <w:rPr>
          <w:spacing w:val="-4"/>
        </w:rPr>
        <w:t> </w:t>
      </w:r>
      <w:r>
        <w:rPr/>
        <w:t>2004/915/EC)</w:t>
      </w:r>
      <w:r>
        <w:rPr>
          <w:spacing w:val="-3"/>
        </w:rPr>
        <w:t> </w:t>
      </w:r>
      <w:r>
        <w:rPr/>
        <w:t>that</w:t>
      </w:r>
      <w:r>
        <w:rPr>
          <w:spacing w:val="-4"/>
        </w:rPr>
        <w:t> </w:t>
      </w:r>
      <w:r>
        <w:rPr/>
        <w:t>resulted</w:t>
      </w:r>
      <w:r>
        <w:rPr>
          <w:spacing w:val="-4"/>
        </w:rPr>
        <w:t> </w:t>
      </w:r>
      <w:r>
        <w:rPr/>
        <w:t>from</w:t>
      </w:r>
      <w:r>
        <w:rPr>
          <w:spacing w:val="-4"/>
        </w:rPr>
        <w:t> </w:t>
      </w:r>
      <w:r>
        <w:rPr/>
        <w:t>your</w:t>
      </w:r>
      <w:r>
        <w:rPr>
          <w:spacing w:val="-4"/>
        </w:rPr>
        <w:t> </w:t>
      </w:r>
      <w:r>
        <w:rPr/>
        <w:t>failure</w:t>
      </w:r>
      <w:r>
        <w:rPr>
          <w:spacing w:val="-3"/>
        </w:rPr>
        <w:t> </w:t>
      </w:r>
      <w:r>
        <w:rPr/>
        <w:t>to</w:t>
      </w:r>
      <w:r>
        <w:rPr>
          <w:spacing w:val="-3"/>
        </w:rPr>
        <w:t> </w:t>
      </w:r>
      <w:r>
        <w:rPr/>
        <w:t>do</w:t>
      </w:r>
      <w:r>
        <w:rPr>
          <w:spacing w:val="-2"/>
        </w:rPr>
        <w:t> </w:t>
      </w:r>
      <w:r>
        <w:rPr/>
        <w:t>so.</w:t>
      </w:r>
    </w:p>
    <w:p>
      <w:pPr>
        <w:pStyle w:val="Heading1"/>
        <w:spacing w:before="165"/>
      </w:pPr>
      <w:r>
        <w:rPr/>
        <w:t>Response</w:t>
      </w:r>
    </w:p>
    <w:p>
      <w:pPr>
        <w:pStyle w:val="BodyText"/>
        <w:spacing w:line="256" w:lineRule="auto" w:before="183"/>
        <w:ind w:left="136" w:right="133"/>
        <w:jc w:val="both"/>
      </w:pPr>
      <w:r>
        <w:rPr/>
        <w:t>We kindly request you to respond to these questions without undue delay, but no later than five working days from today.</w:t>
      </w:r>
    </w:p>
    <w:sectPr>
      <w:pgSz w:w="11910" w:h="16840"/>
      <w:pgMar w:top="10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S Gothic">
    <w:altName w:val="MS Gothic"/>
    <w:charset w:val="0"/>
    <w:family w:val="modern"/>
    <w:pitch w:val="fixed"/>
  </w:font>
  <w:font w:name="Segoe UI Symbol">
    <w:altName w:val="Segoe UI Symbo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856" w:hanging="361"/>
        <w:jc w:val="left"/>
      </w:pPr>
      <w:rPr>
        <w:rFonts w:hint="default" w:ascii="Calibri" w:hAnsi="Calibri" w:eastAsia="Calibri" w:cs="Calibri"/>
        <w:spacing w:val="-1"/>
        <w:w w:val="100"/>
        <w:sz w:val="22"/>
        <w:szCs w:val="22"/>
      </w:rPr>
    </w:lvl>
    <w:lvl w:ilvl="1">
      <w:start w:val="0"/>
      <w:numFmt w:val="bullet"/>
      <w:lvlText w:val="☐"/>
      <w:lvlJc w:val="left"/>
      <w:pPr>
        <w:ind w:left="1115" w:hanging="272"/>
      </w:pPr>
      <w:rPr>
        <w:rFonts w:hint="default" w:ascii="MS Gothic" w:hAnsi="MS Gothic" w:eastAsia="MS Gothic" w:cs="MS Gothic"/>
        <w:w w:val="100"/>
        <w:sz w:val="22"/>
        <w:szCs w:val="22"/>
      </w:rPr>
    </w:lvl>
    <w:lvl w:ilvl="2">
      <w:start w:val="0"/>
      <w:numFmt w:val="bullet"/>
      <w:lvlText w:val="•"/>
      <w:lvlJc w:val="left"/>
      <w:pPr>
        <w:ind w:left="2034" w:hanging="272"/>
      </w:pPr>
      <w:rPr>
        <w:rFonts w:hint="default"/>
      </w:rPr>
    </w:lvl>
    <w:lvl w:ilvl="3">
      <w:start w:val="0"/>
      <w:numFmt w:val="bullet"/>
      <w:lvlText w:val="•"/>
      <w:lvlJc w:val="left"/>
      <w:pPr>
        <w:ind w:left="2948" w:hanging="272"/>
      </w:pPr>
      <w:rPr>
        <w:rFonts w:hint="default"/>
      </w:rPr>
    </w:lvl>
    <w:lvl w:ilvl="4">
      <w:start w:val="0"/>
      <w:numFmt w:val="bullet"/>
      <w:lvlText w:val="•"/>
      <w:lvlJc w:val="left"/>
      <w:pPr>
        <w:ind w:left="3862" w:hanging="272"/>
      </w:pPr>
      <w:rPr>
        <w:rFonts w:hint="default"/>
      </w:rPr>
    </w:lvl>
    <w:lvl w:ilvl="5">
      <w:start w:val="0"/>
      <w:numFmt w:val="bullet"/>
      <w:lvlText w:val="•"/>
      <w:lvlJc w:val="left"/>
      <w:pPr>
        <w:ind w:left="4776" w:hanging="272"/>
      </w:pPr>
      <w:rPr>
        <w:rFonts w:hint="default"/>
      </w:rPr>
    </w:lvl>
    <w:lvl w:ilvl="6">
      <w:start w:val="0"/>
      <w:numFmt w:val="bullet"/>
      <w:lvlText w:val="•"/>
      <w:lvlJc w:val="left"/>
      <w:pPr>
        <w:ind w:left="5690" w:hanging="272"/>
      </w:pPr>
      <w:rPr>
        <w:rFonts w:hint="default"/>
      </w:rPr>
    </w:lvl>
    <w:lvl w:ilvl="7">
      <w:start w:val="0"/>
      <w:numFmt w:val="bullet"/>
      <w:lvlText w:val="•"/>
      <w:lvlJc w:val="left"/>
      <w:pPr>
        <w:ind w:left="6604" w:hanging="272"/>
      </w:pPr>
      <w:rPr>
        <w:rFonts w:hint="default"/>
      </w:rPr>
    </w:lvl>
    <w:lvl w:ilvl="8">
      <w:start w:val="0"/>
      <w:numFmt w:val="bullet"/>
      <w:lvlText w:val="•"/>
      <w:lvlJc w:val="left"/>
      <w:pPr>
        <w:ind w:left="7518" w:hanging="272"/>
      </w:pPr>
      <w:rPr>
        <w:rFonts w:hint="default"/>
      </w:rPr>
    </w:lvl>
  </w:abstractNum>
  <w:abstractNum w:abstractNumId="1">
    <w:multiLevelType w:val="hybridMultilevel"/>
    <w:lvl w:ilvl="0">
      <w:start w:val="1"/>
      <w:numFmt w:val="upperLetter"/>
      <w:lvlText w:val="(%1)"/>
      <w:lvlJc w:val="left"/>
      <w:pPr>
        <w:ind w:left="856" w:hanging="361"/>
        <w:jc w:val="left"/>
      </w:pPr>
      <w:rPr>
        <w:rFonts w:hint="default" w:ascii="Calibri" w:hAnsi="Calibri" w:eastAsia="Calibri" w:cs="Calibri"/>
        <w:spacing w:val="-1"/>
        <w:w w:val="100"/>
        <w:sz w:val="22"/>
        <w:szCs w:val="22"/>
      </w:rPr>
    </w:lvl>
    <w:lvl w:ilvl="1">
      <w:start w:val="0"/>
      <w:numFmt w:val="bullet"/>
      <w:lvlText w:val="☐"/>
      <w:lvlJc w:val="left"/>
      <w:pPr>
        <w:ind w:left="1127" w:hanging="272"/>
      </w:pPr>
      <w:rPr>
        <w:rFonts w:hint="default" w:ascii="MS Gothic" w:hAnsi="MS Gothic" w:eastAsia="MS Gothic" w:cs="MS Gothic"/>
        <w:w w:val="100"/>
        <w:sz w:val="22"/>
        <w:szCs w:val="22"/>
      </w:rPr>
    </w:lvl>
    <w:lvl w:ilvl="2">
      <w:start w:val="0"/>
      <w:numFmt w:val="bullet"/>
      <w:lvlText w:val="•"/>
      <w:lvlJc w:val="left"/>
      <w:pPr>
        <w:ind w:left="2034" w:hanging="272"/>
      </w:pPr>
      <w:rPr>
        <w:rFonts w:hint="default"/>
      </w:rPr>
    </w:lvl>
    <w:lvl w:ilvl="3">
      <w:start w:val="0"/>
      <w:numFmt w:val="bullet"/>
      <w:lvlText w:val="•"/>
      <w:lvlJc w:val="left"/>
      <w:pPr>
        <w:ind w:left="2948" w:hanging="272"/>
      </w:pPr>
      <w:rPr>
        <w:rFonts w:hint="default"/>
      </w:rPr>
    </w:lvl>
    <w:lvl w:ilvl="4">
      <w:start w:val="0"/>
      <w:numFmt w:val="bullet"/>
      <w:lvlText w:val="•"/>
      <w:lvlJc w:val="left"/>
      <w:pPr>
        <w:ind w:left="3862" w:hanging="272"/>
      </w:pPr>
      <w:rPr>
        <w:rFonts w:hint="default"/>
      </w:rPr>
    </w:lvl>
    <w:lvl w:ilvl="5">
      <w:start w:val="0"/>
      <w:numFmt w:val="bullet"/>
      <w:lvlText w:val="•"/>
      <w:lvlJc w:val="left"/>
      <w:pPr>
        <w:ind w:left="4776" w:hanging="272"/>
      </w:pPr>
      <w:rPr>
        <w:rFonts w:hint="default"/>
      </w:rPr>
    </w:lvl>
    <w:lvl w:ilvl="6">
      <w:start w:val="0"/>
      <w:numFmt w:val="bullet"/>
      <w:lvlText w:val="•"/>
      <w:lvlJc w:val="left"/>
      <w:pPr>
        <w:ind w:left="5690" w:hanging="272"/>
      </w:pPr>
      <w:rPr>
        <w:rFonts w:hint="default"/>
      </w:rPr>
    </w:lvl>
    <w:lvl w:ilvl="7">
      <w:start w:val="0"/>
      <w:numFmt w:val="bullet"/>
      <w:lvlText w:val="•"/>
      <w:lvlJc w:val="left"/>
      <w:pPr>
        <w:ind w:left="6604" w:hanging="272"/>
      </w:pPr>
      <w:rPr>
        <w:rFonts w:hint="default"/>
      </w:rPr>
    </w:lvl>
    <w:lvl w:ilvl="8">
      <w:start w:val="0"/>
      <w:numFmt w:val="bullet"/>
      <w:lvlText w:val="•"/>
      <w:lvlJc w:val="left"/>
      <w:pPr>
        <w:ind w:left="7518" w:hanging="272"/>
      </w:pPr>
      <w:rPr>
        <w:rFonts w:hint="default"/>
      </w:rPr>
    </w:lvl>
  </w:abstractNum>
  <w:abstractNum w:abstractNumId="0">
    <w:multiLevelType w:val="hybridMultilevel"/>
    <w:lvl w:ilvl="0">
      <w:start w:val="1"/>
      <w:numFmt w:val="decimal"/>
      <w:lvlText w:val="(%1)"/>
      <w:lvlJc w:val="left"/>
      <w:pPr>
        <w:ind w:left="496" w:hanging="361"/>
        <w:jc w:val="left"/>
      </w:pPr>
      <w:rPr>
        <w:rFonts w:hint="default" w:ascii="Calibri" w:hAnsi="Calibri" w:eastAsia="Calibri" w:cs="Calibri"/>
        <w:w w:val="100"/>
        <w:sz w:val="22"/>
        <w:szCs w:val="22"/>
      </w:rPr>
    </w:lvl>
    <w:lvl w:ilvl="1">
      <w:start w:val="0"/>
      <w:numFmt w:val="bullet"/>
      <w:lvlText w:val="☐"/>
      <w:lvlJc w:val="left"/>
      <w:pPr>
        <w:ind w:left="1114" w:hanging="272"/>
      </w:pPr>
      <w:rPr>
        <w:rFonts w:hint="default" w:ascii="MS Gothic" w:hAnsi="MS Gothic" w:eastAsia="MS Gothic" w:cs="MS Gothic"/>
        <w:w w:val="100"/>
        <w:sz w:val="22"/>
        <w:szCs w:val="22"/>
      </w:rPr>
    </w:lvl>
    <w:lvl w:ilvl="2">
      <w:start w:val="0"/>
      <w:numFmt w:val="bullet"/>
      <w:lvlText w:val="•"/>
      <w:lvlJc w:val="left"/>
      <w:pPr>
        <w:ind w:left="2034" w:hanging="272"/>
      </w:pPr>
      <w:rPr>
        <w:rFonts w:hint="default"/>
      </w:rPr>
    </w:lvl>
    <w:lvl w:ilvl="3">
      <w:start w:val="0"/>
      <w:numFmt w:val="bullet"/>
      <w:lvlText w:val="•"/>
      <w:lvlJc w:val="left"/>
      <w:pPr>
        <w:ind w:left="2948" w:hanging="272"/>
      </w:pPr>
      <w:rPr>
        <w:rFonts w:hint="default"/>
      </w:rPr>
    </w:lvl>
    <w:lvl w:ilvl="4">
      <w:start w:val="0"/>
      <w:numFmt w:val="bullet"/>
      <w:lvlText w:val="•"/>
      <w:lvlJc w:val="left"/>
      <w:pPr>
        <w:ind w:left="3862" w:hanging="272"/>
      </w:pPr>
      <w:rPr>
        <w:rFonts w:hint="default"/>
      </w:rPr>
    </w:lvl>
    <w:lvl w:ilvl="5">
      <w:start w:val="0"/>
      <w:numFmt w:val="bullet"/>
      <w:lvlText w:val="•"/>
      <w:lvlJc w:val="left"/>
      <w:pPr>
        <w:ind w:left="4776" w:hanging="272"/>
      </w:pPr>
      <w:rPr>
        <w:rFonts w:hint="default"/>
      </w:rPr>
    </w:lvl>
    <w:lvl w:ilvl="6">
      <w:start w:val="0"/>
      <w:numFmt w:val="bullet"/>
      <w:lvlText w:val="•"/>
      <w:lvlJc w:val="left"/>
      <w:pPr>
        <w:ind w:left="5690" w:hanging="272"/>
      </w:pPr>
      <w:rPr>
        <w:rFonts w:hint="default"/>
      </w:rPr>
    </w:lvl>
    <w:lvl w:ilvl="7">
      <w:start w:val="0"/>
      <w:numFmt w:val="bullet"/>
      <w:lvlText w:val="•"/>
      <w:lvlJc w:val="left"/>
      <w:pPr>
        <w:ind w:left="6604" w:hanging="272"/>
      </w:pPr>
      <w:rPr>
        <w:rFonts w:hint="default"/>
      </w:rPr>
    </w:lvl>
    <w:lvl w:ilvl="8">
      <w:start w:val="0"/>
      <w:numFmt w:val="bullet"/>
      <w:lvlText w:val="•"/>
      <w:lvlJc w:val="left"/>
      <w:pPr>
        <w:ind w:left="7518" w:hanging="272"/>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31"/>
      <w:ind w:left="136"/>
      <w:outlineLvl w:val="1"/>
    </w:pPr>
    <w:rPr>
      <w:rFonts w:ascii="Calibri" w:hAnsi="Calibri" w:eastAsia="Calibri" w:cs="Calibri"/>
      <w:b/>
      <w:bCs/>
      <w:sz w:val="22"/>
      <w:szCs w:val="22"/>
    </w:rPr>
  </w:style>
  <w:style w:styleId="ListParagraph" w:type="paragraph">
    <w:name w:val="List Paragraph"/>
    <w:basedOn w:val="Normal"/>
    <w:uiPriority w:val="1"/>
    <w:qFormat/>
    <w:pPr>
      <w:ind w:left="496" w:hanging="272"/>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nfo@noyb.eu"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dcterms:created xsi:type="dcterms:W3CDTF">2020-07-21T10:14:03Z</dcterms:created>
  <dcterms:modified xsi:type="dcterms:W3CDTF">2020-07-21T10:14:03Z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Acrobat PDFMaker 20 für Word</vt:lpwstr>
  </property>
  <property fmtid="{D5CDD505-2E9C-101B-9397-08002B2CF9AE}" pid="4" name="LastSaved">
    <vt:filetime>2020-07-21T00:00:00Z</vt:filetime>
  </property>
</Properties>
</file>